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DB80C5">
      <w:p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14:paraId="734898F2">
      <w:pPr>
        <w:jc w:val="center"/>
        <w:rPr>
          <w:rFonts w:hint="eastAsia"/>
          <w:sz w:val="20"/>
          <w:szCs w:val="22"/>
          <w:lang w:val="en-US" w:eastAsia="zh-CN"/>
        </w:rPr>
      </w:pPr>
      <w:r>
        <w:rPr>
          <w:rFonts w:hint="eastAsia" w:ascii="方正小标宋简体" w:eastAsia="方正小标宋简体"/>
          <w:sz w:val="40"/>
          <w:szCs w:val="40"/>
        </w:rPr>
        <w:t>鄂州市</w:t>
      </w:r>
      <w:r>
        <w:rPr>
          <w:rFonts w:hint="eastAsia" w:ascii="方正小标宋简体" w:eastAsia="方正小标宋简体"/>
          <w:sz w:val="40"/>
          <w:szCs w:val="40"/>
          <w:lang w:val="en-US" w:eastAsia="zh-CN"/>
        </w:rPr>
        <w:t>2024年</w:t>
      </w:r>
      <w:r>
        <w:rPr>
          <w:rFonts w:hint="eastAsia" w:ascii="方正小标宋简体" w:eastAsia="方正小标宋简体"/>
          <w:sz w:val="40"/>
          <w:szCs w:val="40"/>
        </w:rPr>
        <w:t>优化营商环境</w:t>
      </w:r>
      <w:r>
        <w:rPr>
          <w:rFonts w:hint="eastAsia" w:ascii="方正小标宋简体" w:eastAsia="方正小标宋简体"/>
          <w:sz w:val="40"/>
          <w:szCs w:val="40"/>
          <w:lang w:val="en-US" w:eastAsia="zh-CN"/>
        </w:rPr>
        <w:t>十佳创新</w:t>
      </w:r>
      <w:r>
        <w:rPr>
          <w:rFonts w:hint="eastAsia" w:ascii="方正小标宋简体" w:eastAsia="方正小标宋简体"/>
          <w:sz w:val="40"/>
          <w:szCs w:val="40"/>
        </w:rPr>
        <w:t>案例</w:t>
      </w:r>
    </w:p>
    <w:tbl>
      <w:tblPr>
        <w:tblStyle w:val="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2088"/>
        <w:gridCol w:w="8675"/>
        <w:gridCol w:w="1813"/>
      </w:tblGrid>
      <w:tr w14:paraId="06E33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5" w:type="pct"/>
            <w:noWrap w:val="0"/>
            <w:vAlign w:val="center"/>
          </w:tcPr>
          <w:p w14:paraId="04E96683">
            <w:pPr>
              <w:bidi w:val="0"/>
              <w:jc w:val="center"/>
              <w:rPr>
                <w:rFonts w:hint="eastAsia" w:ascii="黑体" w:hAnsi="黑体" w:eastAsia="黑体" w:cs="黑体"/>
                <w:b w:val="0"/>
                <w:bCs w:val="0"/>
                <w:sz w:val="24"/>
                <w:szCs w:val="24"/>
                <w:lang w:eastAsia="zh-CN"/>
              </w:rPr>
            </w:pPr>
            <w:r>
              <w:rPr>
                <w:rFonts w:hint="eastAsia" w:ascii="黑体" w:hAnsi="黑体" w:eastAsia="黑体" w:cs="黑体"/>
                <w:b w:val="0"/>
                <w:bCs w:val="0"/>
                <w:sz w:val="24"/>
                <w:szCs w:val="24"/>
                <w:lang w:val="en-US" w:eastAsia="zh-CN"/>
              </w:rPr>
              <w:t>序号</w:t>
            </w:r>
          </w:p>
        </w:tc>
        <w:tc>
          <w:tcPr>
            <w:tcW w:w="781" w:type="pct"/>
            <w:noWrap w:val="0"/>
            <w:vAlign w:val="center"/>
          </w:tcPr>
          <w:p w14:paraId="1E86E843">
            <w:pPr>
              <w:bidi w:val="0"/>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案例名称</w:t>
            </w:r>
          </w:p>
        </w:tc>
        <w:tc>
          <w:tcPr>
            <w:tcW w:w="3245" w:type="pct"/>
            <w:noWrap w:val="0"/>
            <w:vAlign w:val="center"/>
          </w:tcPr>
          <w:p w14:paraId="41A3EB78">
            <w:pPr>
              <w:bidi w:val="0"/>
              <w:jc w:val="center"/>
              <w:rPr>
                <w:rFonts w:hint="eastAsia" w:ascii="黑体" w:hAnsi="黑体" w:eastAsia="黑体" w:cs="黑体"/>
                <w:b w:val="0"/>
                <w:bCs w:val="0"/>
                <w:sz w:val="24"/>
                <w:szCs w:val="24"/>
                <w:lang w:val="en-US"/>
              </w:rPr>
            </w:pPr>
            <w:r>
              <w:rPr>
                <w:rFonts w:hint="eastAsia" w:ascii="黑体" w:hAnsi="黑体" w:eastAsia="黑体" w:cs="黑体"/>
                <w:b w:val="0"/>
                <w:bCs w:val="0"/>
                <w:sz w:val="24"/>
                <w:szCs w:val="24"/>
                <w:lang w:val="en-US" w:eastAsia="zh-CN"/>
              </w:rPr>
              <w:t>主要内容简述</w:t>
            </w:r>
          </w:p>
        </w:tc>
        <w:tc>
          <w:tcPr>
            <w:tcW w:w="678" w:type="pct"/>
            <w:noWrap w:val="0"/>
            <w:vAlign w:val="center"/>
          </w:tcPr>
          <w:p w14:paraId="277569C0">
            <w:pPr>
              <w:bidi w:val="0"/>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申报单位</w:t>
            </w:r>
          </w:p>
        </w:tc>
      </w:tr>
      <w:tr w14:paraId="2D19D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9" w:hRule="atLeast"/>
        </w:trPr>
        <w:tc>
          <w:tcPr>
            <w:tcW w:w="295" w:type="pct"/>
            <w:noWrap w:val="0"/>
            <w:vAlign w:val="center"/>
          </w:tcPr>
          <w:p w14:paraId="77407A4D">
            <w:pPr>
              <w:bidi w:val="0"/>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lang w:val="en-US" w:eastAsia="zh-CN"/>
              </w:rPr>
              <w:t>1</w:t>
            </w:r>
          </w:p>
        </w:tc>
        <w:tc>
          <w:tcPr>
            <w:tcW w:w="781" w:type="pct"/>
            <w:noWrap w:val="0"/>
            <w:vAlign w:val="center"/>
          </w:tcPr>
          <w:p w14:paraId="33F1235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lang w:val="en-US" w:eastAsia="zh-CN"/>
              </w:rPr>
              <w:t>“123”工作法：优化营商环境实践路径</w:t>
            </w:r>
          </w:p>
        </w:tc>
        <w:tc>
          <w:tcPr>
            <w:tcW w:w="3245" w:type="pct"/>
            <w:noWrap w:val="0"/>
            <w:vAlign w:val="center"/>
          </w:tcPr>
          <w:p w14:paraId="379B6358">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b/>
                <w:bCs/>
                <w:lang w:val="en-US" w:eastAsia="zh-CN"/>
              </w:rPr>
              <w:t>1.聚力“一个效能”。</w:t>
            </w:r>
            <w:r>
              <w:rPr>
                <w:rFonts w:hint="eastAsia" w:ascii="仿宋_GB2312" w:hAnsi="仿宋_GB2312" w:eastAsia="仿宋_GB2312" w:cs="仿宋_GB2312"/>
                <w:lang w:val="en-US" w:eastAsia="zh-CN"/>
              </w:rPr>
              <w:t>建立优化营商环境监测工作机制，安排专人收集企业在人才用工、审批服务等方面问题，定期会商，制定措施，提升企业问题诉求办理效能。</w:t>
            </w:r>
            <w:r>
              <w:rPr>
                <w:rFonts w:hint="eastAsia" w:ascii="仿宋_GB2312" w:hAnsi="仿宋_GB2312" w:eastAsia="仿宋_GB2312" w:cs="仿宋_GB2312"/>
                <w:b/>
                <w:bCs/>
                <w:lang w:val="en-US" w:eastAsia="zh-CN"/>
              </w:rPr>
              <w:t>2.聚力“两个作用”。</w:t>
            </w:r>
            <w:r>
              <w:rPr>
                <w:rFonts w:hint="eastAsia" w:ascii="仿宋_GB2312" w:hAnsi="仿宋_GB2312" w:eastAsia="仿宋_GB2312" w:cs="仿宋_GB2312"/>
                <w:lang w:val="en-US" w:eastAsia="zh-CN"/>
              </w:rPr>
              <w:t>依托企业家资源网定期召开座谈会，开展观摩学习、政策辅导、技术研讨等主题活动，会员之间互通有无，共享商业信息，为企业发展打通“内循环”。</w:t>
            </w:r>
            <w:r>
              <w:rPr>
                <w:rFonts w:hint="eastAsia" w:ascii="仿宋_GB2312" w:hAnsi="仿宋_GB2312" w:eastAsia="仿宋_GB2312" w:cs="仿宋_GB2312"/>
                <w:b/>
                <w:bCs/>
                <w:lang w:val="en-US" w:eastAsia="zh-CN"/>
              </w:rPr>
              <w:t>3.聚力“三好环境”。</w:t>
            </w:r>
            <w:r>
              <w:rPr>
                <w:rFonts w:hint="eastAsia" w:ascii="仿宋_GB2312" w:hAnsi="仿宋_GB2312" w:eastAsia="仿宋_GB2312" w:cs="仿宋_GB2312"/>
                <w:lang w:val="en-US" w:eastAsia="zh-CN"/>
              </w:rPr>
              <w:t>以构建公平利企市场环境、公正透明法治环境、文明和谐人文环境为抓手，创新推出“细哥说事室”，排查涉企纠纷。组织民警到企业开展防诈骗等安全防范宣传教育。</w:t>
            </w:r>
          </w:p>
        </w:tc>
        <w:tc>
          <w:tcPr>
            <w:tcW w:w="678" w:type="pct"/>
            <w:noWrap w:val="0"/>
            <w:vAlign w:val="center"/>
          </w:tcPr>
          <w:p w14:paraId="2BC27735">
            <w:pPr>
              <w:bidi w:val="0"/>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lang w:val="en-US" w:eastAsia="zh-CN"/>
              </w:rPr>
              <w:t>鄂城区</w:t>
            </w:r>
          </w:p>
        </w:tc>
      </w:tr>
      <w:tr w14:paraId="451C4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6" w:hRule="atLeast"/>
        </w:trPr>
        <w:tc>
          <w:tcPr>
            <w:tcW w:w="295" w:type="pct"/>
            <w:noWrap w:val="0"/>
            <w:vAlign w:val="center"/>
          </w:tcPr>
          <w:p w14:paraId="708B8D47">
            <w:pPr>
              <w:bidi w:val="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2</w:t>
            </w:r>
          </w:p>
        </w:tc>
        <w:tc>
          <w:tcPr>
            <w:tcW w:w="781" w:type="pct"/>
            <w:noWrap w:val="0"/>
            <w:vAlign w:val="center"/>
          </w:tcPr>
          <w:p w14:paraId="207B5401">
            <w:pPr>
              <w:bidi w:val="0"/>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调解案件督促履行与审执衔接机制改革</w:t>
            </w:r>
          </w:p>
        </w:tc>
        <w:tc>
          <w:tcPr>
            <w:tcW w:w="3245" w:type="pct"/>
            <w:noWrap w:val="0"/>
            <w:vAlign w:val="center"/>
          </w:tcPr>
          <w:p w14:paraId="3AC7C566">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2"/>
                <w:sz w:val="21"/>
                <w:szCs w:val="21"/>
                <w:lang w:val="en-US" w:eastAsia="zh-CN" w:bidi="ar-SA"/>
              </w:rPr>
            </w:pPr>
            <w:r>
              <w:rPr>
                <w:rFonts w:hint="default" w:ascii="仿宋_GB2312" w:hAnsi="仿宋_GB2312" w:eastAsia="仿宋_GB2312" w:cs="仿宋_GB2312"/>
                <w:lang w:val="en-US" w:eastAsia="zh-CN"/>
              </w:rPr>
              <w:t>在调解环节</w:t>
            </w:r>
            <w:r>
              <w:rPr>
                <w:rFonts w:hint="eastAsia" w:ascii="仿宋_GB2312" w:hAnsi="仿宋_GB2312" w:eastAsia="仿宋_GB2312" w:cs="仿宋_GB2312"/>
              </w:rPr>
              <w:t>告知双方当事</w:t>
            </w:r>
            <w:r>
              <w:rPr>
                <w:rFonts w:hint="default" w:ascii="仿宋_GB2312" w:hAnsi="仿宋_GB2312" w:eastAsia="仿宋_GB2312" w:cs="仿宋_GB2312"/>
                <w:lang w:val="en-US"/>
              </w:rPr>
              <w:t>人调解书生效后</w:t>
            </w:r>
            <w:r>
              <w:rPr>
                <w:rFonts w:hint="eastAsia" w:ascii="仿宋_GB2312" w:hAnsi="仿宋_GB2312" w:eastAsia="仿宋_GB2312" w:cs="仿宋_GB2312"/>
                <w:lang w:val="en-US" w:eastAsia="zh-CN"/>
              </w:rPr>
              <w:t>的</w:t>
            </w:r>
            <w:r>
              <w:rPr>
                <w:rFonts w:hint="eastAsia" w:ascii="仿宋_GB2312" w:hAnsi="仿宋_GB2312" w:eastAsia="仿宋_GB2312" w:cs="仿宋_GB2312"/>
              </w:rPr>
              <w:t>权利</w:t>
            </w:r>
            <w:r>
              <w:rPr>
                <w:rFonts w:hint="default" w:ascii="仿宋_GB2312" w:hAnsi="仿宋_GB2312" w:eastAsia="仿宋_GB2312" w:cs="仿宋_GB2312"/>
                <w:lang w:val="en-US"/>
              </w:rPr>
              <w:t>和</w:t>
            </w:r>
            <w:r>
              <w:rPr>
                <w:rFonts w:hint="eastAsia" w:ascii="仿宋_GB2312" w:hAnsi="仿宋_GB2312" w:eastAsia="仿宋_GB2312" w:cs="仿宋_GB2312"/>
              </w:rPr>
              <w:t>义务</w:t>
            </w:r>
            <w:r>
              <w:rPr>
                <w:rFonts w:hint="default" w:ascii="仿宋_GB2312" w:hAnsi="仿宋_GB2312" w:eastAsia="仿宋_GB2312" w:cs="仿宋_GB2312"/>
                <w:lang w:val="en-US"/>
              </w:rPr>
              <w:t>，以及未及时履行</w:t>
            </w:r>
            <w:r>
              <w:rPr>
                <w:rFonts w:hint="eastAsia" w:ascii="仿宋_GB2312" w:hAnsi="仿宋_GB2312" w:eastAsia="仿宋_GB2312" w:cs="仿宋_GB2312"/>
              </w:rPr>
              <w:t>承担的法律后果，在调解书中嵌入执行预申请及执行预通知条款</w:t>
            </w:r>
            <w:r>
              <w:rPr>
                <w:rFonts w:hint="default" w:ascii="仿宋_GB2312" w:hAnsi="仿宋_GB2312" w:eastAsia="仿宋_GB2312" w:cs="仿宋_GB2312"/>
                <w:lang w:val="en-US"/>
              </w:rPr>
              <w:t>。利用承办法官熟悉案情的优势</w:t>
            </w:r>
            <w:r>
              <w:rPr>
                <w:rFonts w:hint="eastAsia" w:ascii="仿宋_GB2312" w:hAnsi="仿宋_GB2312" w:eastAsia="仿宋_GB2312" w:cs="仿宋_GB2312"/>
                <w:lang w:val="en-US" w:eastAsia="zh-CN"/>
              </w:rPr>
              <w:t>，</w:t>
            </w:r>
            <w:r>
              <w:rPr>
                <w:rFonts w:hint="default" w:ascii="仿宋_GB2312" w:hAnsi="仿宋_GB2312" w:eastAsia="仿宋_GB2312" w:cs="仿宋_GB2312"/>
                <w:lang w:val="en-US"/>
              </w:rPr>
              <w:t>先期组织执行和解、督促履行工作。</w:t>
            </w:r>
            <w:r>
              <w:rPr>
                <w:rFonts w:hint="eastAsia" w:ascii="仿宋_GB2312" w:hAnsi="仿宋_GB2312" w:eastAsia="仿宋_GB2312" w:cs="仿宋_GB2312"/>
              </w:rPr>
              <w:t>对</w:t>
            </w:r>
            <w:r>
              <w:rPr>
                <w:rFonts w:hint="default" w:ascii="仿宋_GB2312" w:hAnsi="仿宋_GB2312" w:eastAsia="仿宋_GB2312" w:cs="仿宋_GB2312"/>
                <w:lang w:val="en-US"/>
              </w:rPr>
              <w:t>经督促仍</w:t>
            </w:r>
            <w:r>
              <w:rPr>
                <w:rFonts w:hint="eastAsia" w:ascii="仿宋_GB2312" w:hAnsi="仿宋_GB2312" w:eastAsia="仿宋_GB2312" w:cs="仿宋_GB2312"/>
              </w:rPr>
              <w:t>未履行</w:t>
            </w:r>
            <w:r>
              <w:rPr>
                <w:rFonts w:hint="default" w:ascii="仿宋_GB2312" w:hAnsi="仿宋_GB2312" w:eastAsia="仿宋_GB2312" w:cs="仿宋_GB2312"/>
                <w:lang w:val="en-US"/>
              </w:rPr>
              <w:t>生效调解书确认的支付</w:t>
            </w:r>
            <w:r>
              <w:rPr>
                <w:rFonts w:hint="eastAsia" w:ascii="仿宋_GB2312" w:hAnsi="仿宋_GB2312" w:eastAsia="仿宋_GB2312" w:cs="仿宋_GB2312"/>
              </w:rPr>
              <w:t>义务的</w:t>
            </w:r>
            <w:r>
              <w:rPr>
                <w:rFonts w:hint="default" w:ascii="仿宋_GB2312" w:hAnsi="仿宋_GB2312" w:eastAsia="仿宋_GB2312" w:cs="仿宋_GB2312"/>
                <w:lang w:val="en-US"/>
              </w:rPr>
              <w:t>案件</w:t>
            </w:r>
            <w:r>
              <w:rPr>
                <w:rFonts w:hint="eastAsia" w:ascii="仿宋_GB2312" w:hAnsi="仿宋_GB2312" w:eastAsia="仿宋_GB2312" w:cs="仿宋_GB2312"/>
                <w:lang w:val="en-US" w:eastAsia="zh-CN"/>
              </w:rPr>
              <w:t>，</w:t>
            </w:r>
            <w:r>
              <w:rPr>
                <w:rFonts w:hint="default" w:ascii="仿宋_GB2312" w:hAnsi="仿宋_GB2312" w:eastAsia="仿宋_GB2312" w:cs="仿宋_GB2312"/>
                <w:lang w:val="en-US"/>
              </w:rPr>
              <w:t>由承办法官</w:t>
            </w:r>
            <w:r>
              <w:rPr>
                <w:rFonts w:hint="eastAsia" w:ascii="仿宋_GB2312" w:hAnsi="仿宋_GB2312" w:eastAsia="仿宋_GB2312" w:cs="仿宋_GB2312"/>
              </w:rPr>
              <w:t>直接推送到</w:t>
            </w:r>
            <w:r>
              <w:rPr>
                <w:rFonts w:hint="default" w:ascii="仿宋_GB2312" w:hAnsi="仿宋_GB2312" w:eastAsia="仿宋_GB2312" w:cs="仿宋_GB2312"/>
                <w:lang w:val="en-US"/>
              </w:rPr>
              <w:t>立案</w:t>
            </w:r>
            <w:r>
              <w:rPr>
                <w:rFonts w:hint="eastAsia" w:ascii="仿宋_GB2312" w:hAnsi="仿宋_GB2312" w:eastAsia="仿宋_GB2312" w:cs="仿宋_GB2312"/>
              </w:rPr>
              <w:t>部门</w:t>
            </w:r>
            <w:r>
              <w:rPr>
                <w:rFonts w:hint="default" w:ascii="仿宋_GB2312" w:hAnsi="仿宋_GB2312" w:eastAsia="仿宋_GB2312" w:cs="仿宋_GB2312"/>
                <w:lang w:val="en-US"/>
              </w:rPr>
              <w:t>进行执行立案，减轻当事人再次申请、反复奔波的诉累</w:t>
            </w:r>
            <w:r>
              <w:rPr>
                <w:rFonts w:hint="eastAsia" w:ascii="仿宋_GB2312" w:hAnsi="仿宋_GB2312" w:eastAsia="仿宋_GB2312" w:cs="仿宋_GB2312"/>
              </w:rPr>
              <w:t>。</w:t>
            </w:r>
            <w:r>
              <w:rPr>
                <w:rFonts w:hint="default" w:ascii="仿宋_GB2312" w:hAnsi="仿宋_GB2312" w:eastAsia="仿宋_GB2312" w:cs="仿宋_GB2312"/>
                <w:lang w:val="en-US" w:eastAsia="zh-CN"/>
              </w:rPr>
              <w:t>对于承办法官推送立案的执行案件，</w:t>
            </w:r>
            <w:r>
              <w:rPr>
                <w:rFonts w:hint="eastAsia" w:ascii="仿宋_GB2312" w:hAnsi="仿宋_GB2312" w:eastAsia="仿宋_GB2312" w:cs="仿宋_GB2312"/>
              </w:rPr>
              <w:t>根据调解书中嵌入</w:t>
            </w:r>
            <w:r>
              <w:rPr>
                <w:rFonts w:hint="default" w:ascii="仿宋_GB2312" w:hAnsi="仿宋_GB2312" w:eastAsia="仿宋_GB2312" w:cs="仿宋_GB2312"/>
                <w:lang w:val="en-US"/>
              </w:rPr>
              <w:t>的提前告知</w:t>
            </w:r>
            <w:r>
              <w:rPr>
                <w:rFonts w:hint="eastAsia" w:ascii="仿宋_GB2312" w:hAnsi="仿宋_GB2312" w:eastAsia="仿宋_GB2312" w:cs="仿宋_GB2312"/>
              </w:rPr>
              <w:t>条款</w:t>
            </w:r>
            <w:r>
              <w:rPr>
                <w:rFonts w:hint="default" w:ascii="仿宋_GB2312" w:hAnsi="仿宋_GB2312" w:eastAsia="仿宋_GB2312" w:cs="仿宋_GB2312"/>
                <w:lang w:val="en-US"/>
              </w:rPr>
              <w:t>简化执行告知程序、</w:t>
            </w:r>
            <w:r>
              <w:rPr>
                <w:rFonts w:hint="eastAsia" w:ascii="仿宋_GB2312" w:hAnsi="仿宋_GB2312" w:eastAsia="仿宋_GB2312" w:cs="仿宋_GB2312"/>
              </w:rPr>
              <w:t>执行申请环节，</w:t>
            </w:r>
            <w:r>
              <w:rPr>
                <w:rFonts w:hint="default" w:ascii="仿宋_GB2312" w:hAnsi="仿宋_GB2312" w:eastAsia="仿宋_GB2312" w:cs="仿宋_GB2312"/>
                <w:lang w:val="en-US"/>
              </w:rPr>
              <w:t>加速财产报告、“限高”等</w:t>
            </w:r>
            <w:r>
              <w:rPr>
                <w:rFonts w:hint="eastAsia" w:ascii="仿宋_GB2312" w:hAnsi="仿宋_GB2312" w:eastAsia="仿宋_GB2312" w:cs="仿宋_GB2312"/>
              </w:rPr>
              <w:t>强制措施</w:t>
            </w:r>
            <w:r>
              <w:rPr>
                <w:rFonts w:hint="default" w:ascii="仿宋_GB2312" w:hAnsi="仿宋_GB2312" w:eastAsia="仿宋_GB2312" w:cs="仿宋_GB2312"/>
                <w:lang w:val="en-US"/>
              </w:rPr>
              <w:t>实施流程</w:t>
            </w:r>
            <w:r>
              <w:rPr>
                <w:rFonts w:hint="eastAsia" w:ascii="仿宋_GB2312" w:hAnsi="仿宋_GB2312" w:eastAsia="仿宋_GB2312" w:cs="仿宋_GB2312"/>
              </w:rPr>
              <w:t>，缩短</w:t>
            </w:r>
            <w:r>
              <w:rPr>
                <w:rFonts w:hint="default" w:ascii="仿宋_GB2312" w:hAnsi="仿宋_GB2312" w:eastAsia="仿宋_GB2312" w:cs="仿宋_GB2312"/>
                <w:lang w:val="en-US"/>
              </w:rPr>
              <w:t>执行案件</w:t>
            </w:r>
            <w:r>
              <w:rPr>
                <w:rFonts w:hint="eastAsia" w:ascii="仿宋_GB2312" w:hAnsi="仿宋_GB2312" w:eastAsia="仿宋_GB2312" w:cs="仿宋_GB2312"/>
              </w:rPr>
              <w:t>办理时间。</w:t>
            </w:r>
          </w:p>
        </w:tc>
        <w:tc>
          <w:tcPr>
            <w:tcW w:w="678" w:type="pct"/>
            <w:noWrap w:val="0"/>
            <w:vAlign w:val="center"/>
          </w:tcPr>
          <w:p w14:paraId="2F81F3A0">
            <w:pPr>
              <w:bidi w:val="0"/>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梁子湖区</w:t>
            </w:r>
          </w:p>
        </w:tc>
      </w:tr>
      <w:tr w14:paraId="4E84C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trPr>
        <w:tc>
          <w:tcPr>
            <w:tcW w:w="295" w:type="pct"/>
            <w:noWrap w:val="0"/>
            <w:vAlign w:val="center"/>
          </w:tcPr>
          <w:p w14:paraId="1BE680D1">
            <w:pPr>
              <w:bidi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w:t>
            </w:r>
          </w:p>
        </w:tc>
        <w:tc>
          <w:tcPr>
            <w:tcW w:w="781" w:type="pct"/>
            <w:noWrap w:val="0"/>
            <w:vAlign w:val="center"/>
          </w:tcPr>
          <w:p w14:paraId="305E9170">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市场监管领域实行“学法减罚”制度</w:t>
            </w:r>
          </w:p>
        </w:tc>
        <w:tc>
          <w:tcPr>
            <w:tcW w:w="3245" w:type="pct"/>
            <w:noWrap w:val="0"/>
            <w:vAlign w:val="center"/>
          </w:tcPr>
          <w:p w14:paraId="75E6F094">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在符合法定“减罚”的前提下，针对葛店经开区市场监管领域违法行为轻微，没有造成明显危害后果，主观上不存在故意或重大过失，经过相关法律学习后不予立案或者不予行政处罚；或者违法行为情节轻微，社会危害性较小，经过法律学习可有效预防违法行为再次发生的,给予从轻或减轻行政处罚。“学法减罚”制度要求参加法律学习的对象是经营主体的主要负责人和直接责任人员，提高经营主体对合规守法经营的重视程度。</w:t>
            </w:r>
          </w:p>
        </w:tc>
        <w:tc>
          <w:tcPr>
            <w:tcW w:w="678" w:type="pct"/>
            <w:noWrap w:val="0"/>
            <w:vAlign w:val="center"/>
          </w:tcPr>
          <w:p w14:paraId="0022A591">
            <w:pPr>
              <w:bidi w:val="0"/>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葛店经开区</w:t>
            </w:r>
          </w:p>
        </w:tc>
      </w:tr>
      <w:tr w14:paraId="461CB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295" w:type="pct"/>
            <w:noWrap w:val="0"/>
            <w:vAlign w:val="center"/>
          </w:tcPr>
          <w:p w14:paraId="3360C34F">
            <w:pPr>
              <w:bidi w:val="0"/>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4</w:t>
            </w:r>
          </w:p>
        </w:tc>
        <w:tc>
          <w:tcPr>
            <w:tcW w:w="781" w:type="pct"/>
            <w:noWrap w:val="0"/>
            <w:vAlign w:val="center"/>
          </w:tcPr>
          <w:p w14:paraId="50FD43C0">
            <w:pPr>
              <w:bidi w:val="0"/>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lang w:val="en-US" w:eastAsia="zh-CN"/>
              </w:rPr>
              <w:t>基层劳动人事争议调解组织建设</w:t>
            </w:r>
          </w:p>
        </w:tc>
        <w:tc>
          <w:tcPr>
            <w:tcW w:w="3245" w:type="pct"/>
            <w:noWrap w:val="0"/>
            <w:vAlign w:val="center"/>
          </w:tcPr>
          <w:p w14:paraId="29480E11">
            <w:pPr>
              <w:bidi w:val="0"/>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b/>
                <w:bCs/>
                <w:lang w:val="en-US" w:eastAsia="zh-CN"/>
              </w:rPr>
              <w:t>1.</w:t>
            </w:r>
            <w:r>
              <w:rPr>
                <w:rFonts w:hint="eastAsia" w:ascii="仿宋_GB2312" w:hAnsi="仿宋_GB2312" w:eastAsia="仿宋_GB2312" w:cs="仿宋_GB2312"/>
                <w:b/>
                <w:bCs/>
                <w:lang w:val="en" w:eastAsia="zh-CN"/>
              </w:rPr>
              <w:t>打造</w:t>
            </w:r>
            <w:r>
              <w:rPr>
                <w:rFonts w:hint="eastAsia" w:ascii="仿宋_GB2312" w:hAnsi="仿宋_GB2312" w:eastAsia="仿宋_GB2312" w:cs="仿宋_GB2312"/>
                <w:b/>
                <w:bCs/>
                <w:lang w:val="en-US" w:eastAsia="zh-CN"/>
              </w:rPr>
              <w:t>劳动人事争议</w:t>
            </w:r>
            <w:r>
              <w:rPr>
                <w:rFonts w:hint="eastAsia" w:ascii="仿宋_GB2312" w:hAnsi="仿宋_GB2312" w:eastAsia="仿宋_GB2312" w:cs="仿宋_GB2312"/>
                <w:b/>
                <w:bCs/>
                <w:lang w:val="en" w:eastAsia="zh-CN"/>
              </w:rPr>
              <w:t>红色调解品牌。</w:t>
            </w:r>
            <w:r>
              <w:rPr>
                <w:rFonts w:hint="eastAsia" w:ascii="仿宋_GB2312" w:hAnsi="仿宋_GB2312" w:eastAsia="仿宋_GB2312" w:cs="仿宋_GB2312"/>
                <w:lang w:val="en" w:eastAsia="zh-CN"/>
              </w:rPr>
              <w:t>设立党员调解员示范岗</w:t>
            </w:r>
            <w:r>
              <w:rPr>
                <w:rFonts w:hint="eastAsia" w:ascii="仿宋_GB2312" w:hAnsi="仿宋_GB2312" w:eastAsia="仿宋_GB2312" w:cs="仿宋_GB2312"/>
                <w:lang w:val="en-US" w:eastAsia="zh-CN"/>
              </w:rPr>
              <w:t>，</w:t>
            </w:r>
            <w:r>
              <w:rPr>
                <w:rFonts w:hint="eastAsia" w:ascii="仿宋_GB2312" w:hAnsi="仿宋_GB2312" w:eastAsia="仿宋_GB2312" w:cs="仿宋_GB2312"/>
                <w:lang w:val="en" w:eastAsia="zh-CN"/>
              </w:rPr>
              <w:t>通过党建联建、资源共享、活动共办等形式，充分发挥党组织战斗堡垒作用</w:t>
            </w:r>
            <w:r>
              <w:rPr>
                <w:rFonts w:hint="eastAsia" w:ascii="仿宋_GB2312" w:hAnsi="仿宋_GB2312" w:eastAsia="仿宋_GB2312" w:cs="仿宋_GB2312"/>
                <w:lang w:val="en-US" w:eastAsia="zh-CN"/>
              </w:rPr>
              <w:t>。</w:t>
            </w:r>
            <w:r>
              <w:rPr>
                <w:rFonts w:hint="eastAsia" w:ascii="仿宋_GB2312" w:hAnsi="仿宋_GB2312" w:eastAsia="仿宋_GB2312" w:cs="仿宋_GB2312"/>
                <w:b/>
                <w:bCs/>
                <w:lang w:val="en-US" w:eastAsia="zh-CN"/>
              </w:rPr>
              <w:t>2.建立“人社+工会+检察院+法院+N”多元化解联动处置机制。</w:t>
            </w:r>
            <w:r>
              <w:rPr>
                <w:rFonts w:hint="eastAsia" w:ascii="仿宋_GB2312" w:hAnsi="仿宋_GB2312" w:eastAsia="仿宋_GB2312" w:cs="仿宋_GB2312"/>
                <w:lang w:val="en" w:eastAsia="zh-CN"/>
              </w:rPr>
              <w:t>成立劳动纠纷一站式联处中心，</w:t>
            </w:r>
            <w:r>
              <w:rPr>
                <w:rFonts w:hint="eastAsia" w:ascii="仿宋_GB2312" w:hAnsi="仿宋_GB2312" w:eastAsia="仿宋_GB2312" w:cs="仿宋_GB2312"/>
                <w:lang w:val="en-US" w:eastAsia="zh-CN"/>
              </w:rPr>
              <w:t>建立“人社+工会”裁调对接工作机制，在全市成立调裁对接工作室，召开“人社+工会+法院”联席会，加强业务交流合作。</w:t>
            </w:r>
            <w:r>
              <w:rPr>
                <w:rFonts w:hint="eastAsia" w:ascii="仿宋_GB2312" w:hAnsi="仿宋_GB2312" w:eastAsia="仿宋_GB2312" w:cs="仿宋_GB2312"/>
                <w:b/>
                <w:bCs/>
                <w:lang w:val="en-US" w:eastAsia="zh-CN"/>
              </w:rPr>
              <w:t>3.持续推动快调速裁办案改革。</w:t>
            </w:r>
            <w:r>
              <w:rPr>
                <w:rFonts w:hint="eastAsia" w:ascii="仿宋_GB2312" w:hAnsi="仿宋_GB2312" w:eastAsia="仿宋_GB2312" w:cs="仿宋_GB2312"/>
                <w:lang w:val="en-US" w:eastAsia="zh-CN"/>
              </w:rPr>
              <w:t>将农民工工资争议、新业态类争议纳入调解仲裁绿色通道，全面创建劳动纠纷一站式联处中心。</w:t>
            </w:r>
            <w:r>
              <w:rPr>
                <w:rFonts w:hint="eastAsia" w:ascii="仿宋_GB2312" w:hAnsi="仿宋_GB2312" w:eastAsia="仿宋_GB2312" w:cs="仿宋_GB2312"/>
                <w:b/>
                <w:bCs/>
                <w:lang w:val="en-US" w:eastAsia="zh-CN"/>
              </w:rPr>
              <w:t>4.创新构建“政府+行业性调解组织”双向推进体系。</w:t>
            </w:r>
            <w:r>
              <w:rPr>
                <w:rFonts w:hint="eastAsia" w:ascii="仿宋_GB2312" w:hAnsi="仿宋_GB2312" w:eastAsia="仿宋_GB2312" w:cs="仿宋_GB2312"/>
                <w:lang w:val="en-US" w:eastAsia="zh-CN"/>
              </w:rPr>
              <w:t>对内联通部门，对外联结企业、行业协会调解组织，组织成立临空经济区物流行业劳动争议预防和调解联盟，打造“顺路无忧”调解品牌。</w:t>
            </w:r>
            <w:r>
              <w:rPr>
                <w:rFonts w:hint="eastAsia" w:ascii="仿宋_GB2312" w:hAnsi="仿宋_GB2312" w:eastAsia="仿宋_GB2312" w:cs="仿宋_GB2312"/>
                <w:b/>
                <w:bCs/>
                <w:lang w:val="en-US" w:eastAsia="zh-CN"/>
              </w:rPr>
              <w:t>5.深入开展调解仲裁“千万服务”。</w:t>
            </w:r>
            <w:r>
              <w:rPr>
                <w:rFonts w:hint="eastAsia" w:ascii="仿宋_GB2312" w:hAnsi="仿宋_GB2312" w:eastAsia="仿宋_GB2312" w:cs="仿宋_GB2312"/>
                <w:lang w:val="en-US" w:eastAsia="zh-CN"/>
              </w:rPr>
              <w:t>强化各区仲裁员服务意识，积极开展入企宣讲及“师带徒”结对帮扶，构建仲裁员一对一帮扶企业名册。</w:t>
            </w:r>
          </w:p>
        </w:tc>
        <w:tc>
          <w:tcPr>
            <w:tcW w:w="678" w:type="pct"/>
            <w:noWrap w:val="0"/>
            <w:vAlign w:val="center"/>
          </w:tcPr>
          <w:p w14:paraId="002714B3">
            <w:pPr>
              <w:bidi w:val="0"/>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lang w:val="en-US" w:eastAsia="zh-CN"/>
              </w:rPr>
              <w:t>市人社局</w:t>
            </w:r>
          </w:p>
        </w:tc>
      </w:tr>
      <w:tr w14:paraId="10F0A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trPr>
        <w:tc>
          <w:tcPr>
            <w:tcW w:w="295" w:type="pct"/>
            <w:noWrap w:val="0"/>
            <w:vAlign w:val="center"/>
          </w:tcPr>
          <w:p w14:paraId="2923716B">
            <w:pPr>
              <w:bidi w:val="0"/>
              <w:jc w:val="center"/>
              <w:rPr>
                <w:rFonts w:hint="default" w:ascii="仿宋_GB2312" w:hAnsi="仿宋_GB2312" w:eastAsia="仿宋_GB2312" w:cs="仿宋_GB2312"/>
                <w:kern w:val="2"/>
                <w:sz w:val="21"/>
                <w:szCs w:val="24"/>
                <w:lang w:val="en-US" w:eastAsia="zh-CN" w:bidi="ar-SA"/>
              </w:rPr>
            </w:pPr>
            <w:r>
              <w:rPr>
                <w:rFonts w:hint="eastAsia" w:ascii="仿宋_GB2312" w:hAnsi="仿宋_GB2312" w:eastAsia="仿宋_GB2312" w:cs="仿宋_GB2312"/>
                <w:kern w:val="2"/>
                <w:sz w:val="21"/>
                <w:szCs w:val="24"/>
                <w:lang w:val="en-US" w:eastAsia="zh-CN" w:bidi="ar-SA"/>
              </w:rPr>
              <w:t>5</w:t>
            </w:r>
          </w:p>
        </w:tc>
        <w:tc>
          <w:tcPr>
            <w:tcW w:w="781" w:type="pct"/>
            <w:noWrap w:val="0"/>
            <w:vAlign w:val="center"/>
          </w:tcPr>
          <w:p w14:paraId="15C66623">
            <w:pPr>
              <w:bidi w:val="0"/>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lang w:val="en-US" w:eastAsia="zh-CN"/>
              </w:rPr>
              <w:t>实施污染源智能振动监控</w:t>
            </w:r>
          </w:p>
        </w:tc>
        <w:tc>
          <w:tcPr>
            <w:tcW w:w="3245" w:type="pct"/>
            <w:noWrap w:val="0"/>
            <w:vAlign w:val="center"/>
          </w:tcPr>
          <w:p w14:paraId="661B0FE4">
            <w:pPr>
              <w:jc w:val="both"/>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b/>
                <w:bCs/>
                <w:lang w:val="en-US" w:eastAsia="zh-CN"/>
              </w:rPr>
              <w:t>1.加强技术创新与应用。</w:t>
            </w:r>
            <w:r>
              <w:rPr>
                <w:rFonts w:hint="eastAsia" w:ascii="仿宋_GB2312" w:hAnsi="仿宋_GB2312" w:eastAsia="仿宋_GB2312" w:cs="仿宋_GB2312"/>
                <w:lang w:val="en-US" w:eastAsia="zh-CN"/>
              </w:rPr>
              <w:t>在企业的产污、治污设备上安装污染源智能监控，实时感知设备的振动能量数值，精准掌握企业生产与治污设施的使用情况。</w:t>
            </w:r>
            <w:r>
              <w:rPr>
                <w:rFonts w:hint="eastAsia" w:ascii="仿宋_GB2312" w:hAnsi="仿宋_GB2312" w:eastAsia="仿宋_GB2312" w:cs="仿宋_GB2312"/>
                <w:b/>
                <w:bCs/>
                <w:lang w:val="en-US" w:eastAsia="zh-CN"/>
              </w:rPr>
              <w:t>2.加强培训、使用用智能振动监控APP。</w:t>
            </w:r>
            <w:r>
              <w:rPr>
                <w:rFonts w:hint="eastAsia" w:ascii="仿宋_GB2312" w:hAnsi="仿宋_GB2312" w:eastAsia="仿宋_GB2312" w:cs="仿宋_GB2312"/>
                <w:lang w:val="en-US" w:eastAsia="zh-CN"/>
              </w:rPr>
              <w:t>对执法人员进行应用培训，通过智能设备在手机APP随时查看企业的设备运行状况，实现实时监控。</w:t>
            </w:r>
            <w:r>
              <w:rPr>
                <w:rFonts w:hint="eastAsia" w:ascii="仿宋_GB2312" w:hAnsi="仿宋_GB2312" w:eastAsia="仿宋_GB2312" w:cs="仿宋_GB2312"/>
                <w:b/>
                <w:bCs/>
                <w:lang w:val="en-US" w:eastAsia="zh-CN"/>
              </w:rPr>
              <w:t>3.及时预警、及时处置。</w:t>
            </w:r>
            <w:r>
              <w:rPr>
                <w:rFonts w:hint="eastAsia" w:ascii="仿宋_GB2312" w:hAnsi="仿宋_GB2312" w:eastAsia="仿宋_GB2312" w:cs="仿宋_GB2312"/>
                <w:lang w:val="en-US" w:eastAsia="zh-CN"/>
              </w:rPr>
              <w:t>通过智能设备的非现场监管手段，大幅提升执法监管效率、减少对守法企业的打扰频次，监管平台发现异常，及时通过微信群向企业预警，对无视预警信息企业迅速启动立案程序。</w:t>
            </w:r>
          </w:p>
        </w:tc>
        <w:tc>
          <w:tcPr>
            <w:tcW w:w="678" w:type="pct"/>
            <w:noWrap w:val="0"/>
            <w:vAlign w:val="center"/>
          </w:tcPr>
          <w:p w14:paraId="02CF547E">
            <w:pPr>
              <w:bidi w:val="0"/>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lang w:val="en-US" w:eastAsia="zh-CN"/>
              </w:rPr>
              <w:t>市生态环境局</w:t>
            </w:r>
          </w:p>
        </w:tc>
      </w:tr>
      <w:tr w14:paraId="4C8CC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trPr>
        <w:tc>
          <w:tcPr>
            <w:tcW w:w="295" w:type="pct"/>
            <w:noWrap w:val="0"/>
            <w:vAlign w:val="center"/>
          </w:tcPr>
          <w:p w14:paraId="69B47C92">
            <w:pPr>
              <w:bidi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6</w:t>
            </w:r>
          </w:p>
        </w:tc>
        <w:tc>
          <w:tcPr>
            <w:tcW w:w="781" w:type="pct"/>
            <w:noWrap w:val="0"/>
            <w:vAlign w:val="center"/>
          </w:tcPr>
          <w:p w14:paraId="25A65A37">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交通运输行政处罚缴费取票零跑腿</w:t>
            </w:r>
          </w:p>
        </w:tc>
        <w:tc>
          <w:tcPr>
            <w:tcW w:w="3245" w:type="pct"/>
            <w:noWrap w:val="0"/>
            <w:vAlign w:val="center"/>
          </w:tcPr>
          <w:p w14:paraId="10088B5B">
            <w:pPr>
              <w:jc w:val="both"/>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1.简化行政处罚流程。</w:t>
            </w:r>
            <w:r>
              <w:rPr>
                <w:rFonts w:hint="eastAsia" w:ascii="仿宋_GB2312" w:hAnsi="仿宋_GB2312" w:eastAsia="仿宋_GB2312" w:cs="仿宋_GB2312"/>
                <w:lang w:val="en-US" w:eastAsia="zh-CN"/>
              </w:rPr>
              <w:t>网上缴纳罚款只要扫描行政处罚决定书上的自助缴款二维码，即可完成缴款，并当场获取缴款回执。</w:t>
            </w:r>
            <w:r>
              <w:rPr>
                <w:rFonts w:hint="eastAsia" w:ascii="仿宋_GB2312" w:hAnsi="仿宋_GB2312" w:eastAsia="仿宋_GB2312" w:cs="仿宋_GB2312"/>
                <w:b/>
                <w:bCs/>
                <w:lang w:val="en-US" w:eastAsia="zh-CN"/>
              </w:rPr>
              <w:t>2.增强数据查找能力。</w:t>
            </w:r>
            <w:r>
              <w:rPr>
                <w:rFonts w:hint="eastAsia" w:ascii="仿宋_GB2312" w:hAnsi="仿宋_GB2312" w:eastAsia="仿宋_GB2312" w:cs="仿宋_GB2312"/>
                <w:lang w:val="en-US" w:eastAsia="zh-CN"/>
              </w:rPr>
              <w:t>通过抓取电子支付系统缴纳罚款的相关信息，实时汇总每日罚款金额。根据开票信息和已开缴款书实际详情，方便于财务人员清晰统计、快捷对账。当事人可直接查询并下载清晰的缴款票据，避免上传修复资料时因缴款票据不清晰被打回。</w:t>
            </w:r>
            <w:r>
              <w:rPr>
                <w:rFonts w:hint="eastAsia" w:ascii="仿宋_GB2312" w:hAnsi="仿宋_GB2312" w:eastAsia="仿宋_GB2312" w:cs="仿宋_GB2312"/>
                <w:b/>
                <w:bCs/>
                <w:lang w:val="en-US" w:eastAsia="zh-CN"/>
              </w:rPr>
              <w:t>3.提高群众满意程度。</w:t>
            </w:r>
            <w:r>
              <w:rPr>
                <w:rFonts w:hint="eastAsia" w:ascii="仿宋_GB2312" w:hAnsi="仿宋_GB2312" w:eastAsia="仿宋_GB2312" w:cs="仿宋_GB2312"/>
                <w:lang w:val="en-US" w:eastAsia="zh-CN"/>
              </w:rPr>
              <w:t>电子缴费支持微信、支付宝、银联等多种支付渠道，满足群众多样化支付需求，节省群众银行窗口排队缴费时间。</w:t>
            </w:r>
          </w:p>
        </w:tc>
        <w:tc>
          <w:tcPr>
            <w:tcW w:w="678" w:type="pct"/>
            <w:noWrap w:val="0"/>
            <w:vAlign w:val="center"/>
          </w:tcPr>
          <w:p w14:paraId="47EF7EE4">
            <w:pPr>
              <w:bidi w:val="0"/>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市交通运输局</w:t>
            </w:r>
          </w:p>
        </w:tc>
      </w:tr>
      <w:tr w14:paraId="0BFC4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295" w:type="pct"/>
            <w:noWrap w:val="0"/>
            <w:vAlign w:val="center"/>
          </w:tcPr>
          <w:p w14:paraId="759714EF">
            <w:pPr>
              <w:bidi w:val="0"/>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lang w:val="en-US" w:eastAsia="zh-CN"/>
              </w:rPr>
              <w:t>7</w:t>
            </w:r>
          </w:p>
        </w:tc>
        <w:tc>
          <w:tcPr>
            <w:tcW w:w="781" w:type="pct"/>
            <w:noWrap w:val="0"/>
            <w:vAlign w:val="center"/>
          </w:tcPr>
          <w:p w14:paraId="0B777612">
            <w:pPr>
              <w:bidi w:val="0"/>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lang w:val="en-US" w:eastAsia="zh-CN"/>
              </w:rPr>
              <w:t>在全省率先实现定点医药机构医保服务协议网签</w:t>
            </w:r>
          </w:p>
        </w:tc>
        <w:tc>
          <w:tcPr>
            <w:tcW w:w="3245" w:type="pct"/>
            <w:noWrap w:val="0"/>
            <w:vAlign w:val="center"/>
          </w:tcPr>
          <w:p w14:paraId="52838A2B">
            <w:pPr>
              <w:jc w:val="both"/>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lang w:val="en-US" w:eastAsia="zh-CN"/>
              </w:rPr>
              <w:t>医保协议网签由“最少跑一次”变成“零跑腿”，平均办理时限由“一周”变为“即时办”，提升医保协议管理质效，进一步方便医药、药店申请成为定点医药机构。加强信息系统建设，在全省率先上线医保服务协议网签服务。对定点医药机构开展协议网签事项事前培训，事中督促和事后考核工作，确保协议网签工作有序推进。严守协议签订标准，协议签订事项初审、复审、终审三重把关，确保两定单位100%达到协议管理标准。</w:t>
            </w:r>
          </w:p>
        </w:tc>
        <w:tc>
          <w:tcPr>
            <w:tcW w:w="678" w:type="pct"/>
            <w:noWrap w:val="0"/>
            <w:vAlign w:val="center"/>
          </w:tcPr>
          <w:p w14:paraId="0E2AC900">
            <w:pPr>
              <w:bidi w:val="0"/>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lang w:val="en-US" w:eastAsia="zh-CN"/>
              </w:rPr>
              <w:t>市医疗保障局</w:t>
            </w:r>
          </w:p>
        </w:tc>
      </w:tr>
      <w:tr w14:paraId="26249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trPr>
        <w:tc>
          <w:tcPr>
            <w:tcW w:w="295" w:type="pct"/>
            <w:noWrap w:val="0"/>
            <w:vAlign w:val="center"/>
          </w:tcPr>
          <w:p w14:paraId="5779175E">
            <w:pPr>
              <w:bidi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8</w:t>
            </w:r>
          </w:p>
        </w:tc>
        <w:tc>
          <w:tcPr>
            <w:tcW w:w="781" w:type="pct"/>
            <w:noWrap w:val="0"/>
            <w:vAlign w:val="center"/>
          </w:tcPr>
          <w:p w14:paraId="0F70983D">
            <w:pPr>
              <w:pStyle w:val="2"/>
              <w:ind w:left="0" w:leftChars="0" w:firstLine="0" w:firstLineChars="0"/>
              <w:rPr>
                <w:rFonts w:hint="eastAsia"/>
                <w:lang w:val="en-US" w:eastAsia="zh-CN"/>
              </w:rPr>
            </w:pPr>
            <w:r>
              <w:rPr>
                <w:rFonts w:hint="eastAsia" w:ascii="仿宋_GB2312" w:hAnsi="仿宋_GB2312" w:eastAsia="仿宋_GB2312" w:cs="仿宋_GB2312"/>
                <w:kern w:val="2"/>
                <w:sz w:val="21"/>
                <w:szCs w:val="24"/>
                <w:lang w:val="en-US" w:eastAsia="zh-CN" w:bidi="ar-SA"/>
              </w:rPr>
              <w:t>局长“坐窗口，走流程，优服务”提升窗口服务效能</w:t>
            </w:r>
          </w:p>
        </w:tc>
        <w:tc>
          <w:tcPr>
            <w:tcW w:w="3245" w:type="pct"/>
            <w:noWrap w:val="0"/>
            <w:vAlign w:val="center"/>
          </w:tcPr>
          <w:p w14:paraId="2E7047AA">
            <w:pPr>
              <w:jc w:val="both"/>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1.开展局长坐窗口，优化办事流程。</w:t>
            </w:r>
            <w:r>
              <w:rPr>
                <w:rFonts w:hint="eastAsia" w:ascii="仿宋_GB2312" w:hAnsi="仿宋_GB2312" w:eastAsia="仿宋_GB2312" w:cs="仿宋_GB2312"/>
                <w:lang w:val="en-US" w:eastAsia="zh-CN"/>
              </w:rPr>
              <w:t>市数据局印发《关于进一步开展政务服务局长“坐窗口、走流程、优服务”活动的通知》，组织各单位负责同志跟群众面对面接触，通过换位式体验走流程、听民意、促提升。</w:t>
            </w:r>
            <w:r>
              <w:rPr>
                <w:rFonts w:hint="eastAsia" w:ascii="仿宋_GB2312" w:hAnsi="仿宋_GB2312" w:eastAsia="仿宋_GB2312" w:cs="仿宋_GB2312"/>
                <w:b/>
                <w:bCs/>
                <w:lang w:val="en-US" w:eastAsia="zh-CN"/>
              </w:rPr>
              <w:t>2.开展政务微课堂，提升业务水平。</w:t>
            </w:r>
            <w:r>
              <w:rPr>
                <w:rFonts w:hint="eastAsia" w:ascii="仿宋_GB2312" w:hAnsi="仿宋_GB2312" w:eastAsia="仿宋_GB2312" w:cs="仿宋_GB2312"/>
                <w:lang w:val="en-US" w:eastAsia="zh-CN"/>
              </w:rPr>
              <w:t>通过定期开展“政务微课堂”高频业务培训活动，不断优化提升窗口人员业务能力和服务水平。</w:t>
            </w:r>
            <w:r>
              <w:rPr>
                <w:rFonts w:hint="eastAsia" w:ascii="仿宋_GB2312" w:hAnsi="仿宋_GB2312" w:eastAsia="仿宋_GB2312" w:cs="仿宋_GB2312"/>
                <w:b/>
                <w:bCs/>
                <w:lang w:val="en-US" w:eastAsia="zh-CN"/>
              </w:rPr>
              <w:t>3.严格制度管理，提升服务质效。</w:t>
            </w:r>
            <w:r>
              <w:rPr>
                <w:rFonts w:hint="eastAsia" w:ascii="仿宋_GB2312" w:hAnsi="仿宋_GB2312" w:eastAsia="仿宋_GB2312" w:cs="仿宋_GB2312"/>
                <w:lang w:val="en-US" w:eastAsia="zh-CN"/>
              </w:rPr>
              <w:t>建立窗口现场受理处置企业群众咨询、投诉、建议，能现场答复解决的现场答复解决，不能现场答复解决开展跟踪督办和回访的闭环管理机制。</w:t>
            </w:r>
          </w:p>
        </w:tc>
        <w:tc>
          <w:tcPr>
            <w:tcW w:w="678" w:type="pct"/>
            <w:noWrap w:val="0"/>
            <w:vAlign w:val="center"/>
          </w:tcPr>
          <w:p w14:paraId="2054138B">
            <w:pPr>
              <w:bidi w:val="0"/>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市数据局</w:t>
            </w:r>
          </w:p>
        </w:tc>
      </w:tr>
      <w:tr w14:paraId="422EA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295" w:type="pct"/>
            <w:noWrap w:val="0"/>
            <w:vAlign w:val="center"/>
          </w:tcPr>
          <w:p w14:paraId="7BD1A31F">
            <w:pPr>
              <w:bidi w:val="0"/>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lang w:val="en-US" w:eastAsia="zh-CN"/>
              </w:rPr>
              <w:t>9</w:t>
            </w:r>
          </w:p>
        </w:tc>
        <w:tc>
          <w:tcPr>
            <w:tcW w:w="781" w:type="pct"/>
            <w:noWrap w:val="0"/>
            <w:vAlign w:val="center"/>
          </w:tcPr>
          <w:p w14:paraId="457CDB1B">
            <w:pPr>
              <w:bidi w:val="0"/>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lang w:val="en-US" w:eastAsia="zh-CN"/>
              </w:rPr>
              <w:t>建立“3+X”政府采购专家顾问制度</w:t>
            </w:r>
          </w:p>
        </w:tc>
        <w:tc>
          <w:tcPr>
            <w:tcW w:w="3245" w:type="pct"/>
            <w:noWrap w:val="0"/>
            <w:vAlign w:val="center"/>
          </w:tcPr>
          <w:p w14:paraId="16810B2C">
            <w:pPr>
              <w:jc w:val="both"/>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b/>
                <w:bCs/>
                <w:lang w:val="en-US" w:eastAsia="zh-CN"/>
              </w:rPr>
              <w:t>1.准确把握制度定位。</w:t>
            </w:r>
            <w:r>
              <w:rPr>
                <w:rFonts w:hint="eastAsia" w:ascii="仿宋_GB2312" w:hAnsi="仿宋_GB2312" w:eastAsia="仿宋_GB2312" w:cs="仿宋_GB2312"/>
                <w:lang w:val="en-US" w:eastAsia="zh-CN"/>
              </w:rPr>
              <w:t>明确“3+X”政府采购专家顾问制度的4个定位：政府采购专员制度的拓展延伸、政采质疑投诉处理的协助手段、采购矛盾纠纷化解的创新途径、政府采购宣传咨询的有效方式。</w:t>
            </w:r>
            <w:r>
              <w:rPr>
                <w:rFonts w:hint="eastAsia" w:ascii="仿宋_GB2312" w:hAnsi="仿宋_GB2312" w:eastAsia="仿宋_GB2312" w:cs="仿宋_GB2312"/>
                <w:b/>
                <w:bCs/>
                <w:lang w:val="en-US" w:eastAsia="zh-CN"/>
              </w:rPr>
              <w:t>2.精心推选专家顾问。</w:t>
            </w:r>
            <w:r>
              <w:rPr>
                <w:rFonts w:hint="eastAsia" w:ascii="仿宋_GB2312" w:hAnsi="仿宋_GB2312" w:eastAsia="仿宋_GB2312" w:cs="仿宋_GB2312"/>
                <w:lang w:val="en-US" w:eastAsia="zh-CN"/>
              </w:rPr>
              <w:t>严格专家顾问推选标准，明确专家顾问政治、业务、纪法和经验等4个方面的基本条件，以及项目需求编制、政策法规解读和质疑投诉处理等3个方面的基本职责。</w:t>
            </w:r>
            <w:r>
              <w:rPr>
                <w:rFonts w:hint="eastAsia" w:ascii="仿宋_GB2312" w:hAnsi="仿宋_GB2312" w:eastAsia="仿宋_GB2312" w:cs="仿宋_GB2312"/>
                <w:b/>
                <w:bCs/>
                <w:lang w:val="en-US" w:eastAsia="zh-CN"/>
              </w:rPr>
              <w:t>3.建立健全工作机制。</w:t>
            </w:r>
            <w:r>
              <w:rPr>
                <w:rFonts w:hint="eastAsia" w:ascii="仿宋_GB2312" w:hAnsi="仿宋_GB2312" w:eastAsia="仿宋_GB2312" w:cs="仿宋_GB2312"/>
                <w:lang w:val="en-US" w:eastAsia="zh-CN"/>
              </w:rPr>
              <w:t>每半年至少召开1次工作例会，通报政府采购有关情况，研究讨论新实施的政府采购政策法规，探讨政府采购执行过程中的疑难问题。及时清退、调整、充实专家顾问组成员。</w:t>
            </w:r>
          </w:p>
        </w:tc>
        <w:tc>
          <w:tcPr>
            <w:tcW w:w="678" w:type="pct"/>
            <w:noWrap w:val="0"/>
            <w:vAlign w:val="center"/>
          </w:tcPr>
          <w:p w14:paraId="2BEAB691">
            <w:pPr>
              <w:bidi w:val="0"/>
              <w:rPr>
                <w:rFonts w:hint="default" w:ascii="仿宋_GB2312" w:hAnsi="仿宋_GB2312" w:eastAsia="仿宋_GB2312" w:cs="仿宋_GB2312"/>
                <w:kern w:val="2"/>
                <w:sz w:val="21"/>
                <w:szCs w:val="24"/>
                <w:lang w:val="en-US" w:eastAsia="zh-CN" w:bidi="ar-SA"/>
              </w:rPr>
            </w:pPr>
            <w:r>
              <w:rPr>
                <w:rFonts w:hint="eastAsia" w:ascii="仿宋_GB2312" w:hAnsi="仿宋_GB2312" w:eastAsia="仿宋_GB2312" w:cs="仿宋_GB2312"/>
                <w:lang w:val="en-US" w:eastAsia="zh-CN"/>
              </w:rPr>
              <w:t>市公共资源交易中心</w:t>
            </w:r>
          </w:p>
        </w:tc>
      </w:tr>
      <w:tr w14:paraId="6BF38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295" w:type="pct"/>
            <w:noWrap w:val="0"/>
            <w:vAlign w:val="center"/>
          </w:tcPr>
          <w:p w14:paraId="0D52F4B5">
            <w:pPr>
              <w:bidi w:val="0"/>
              <w:jc w:val="center"/>
              <w:rPr>
                <w:rFonts w:hint="default" w:ascii="仿宋_GB2312" w:hAnsi="仿宋_GB2312" w:eastAsia="仿宋_GB2312" w:cs="仿宋_GB2312"/>
                <w:kern w:val="2"/>
                <w:sz w:val="21"/>
                <w:szCs w:val="24"/>
                <w:lang w:val="en-US" w:eastAsia="zh-CN" w:bidi="ar-SA"/>
              </w:rPr>
            </w:pPr>
            <w:r>
              <w:rPr>
                <w:rFonts w:hint="eastAsia" w:ascii="仿宋_GB2312" w:hAnsi="仿宋_GB2312" w:eastAsia="仿宋_GB2312" w:cs="仿宋_GB2312"/>
                <w:lang w:val="en-US" w:eastAsia="zh-CN"/>
              </w:rPr>
              <w:t>10</w:t>
            </w:r>
          </w:p>
        </w:tc>
        <w:tc>
          <w:tcPr>
            <w:tcW w:w="781" w:type="pct"/>
            <w:noWrap w:val="0"/>
            <w:vAlign w:val="center"/>
          </w:tcPr>
          <w:p w14:paraId="1D462E9C">
            <w:pPr>
              <w:bidi w:val="0"/>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lang w:val="en-US" w:eastAsia="zh-CN"/>
              </w:rPr>
              <w:t>推进住房资金管理体制机制改革</w:t>
            </w:r>
          </w:p>
        </w:tc>
        <w:tc>
          <w:tcPr>
            <w:tcW w:w="3245" w:type="pct"/>
            <w:noWrap w:val="0"/>
            <w:vAlign w:val="center"/>
          </w:tcPr>
          <w:p w14:paraId="7BBB7F75">
            <w:pPr>
              <w:jc w:val="both"/>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b/>
                <w:bCs/>
                <w:lang w:val="en-US" w:eastAsia="zh-CN"/>
              </w:rPr>
              <w:t>1.在全国率先建成运行住房资金管理一体化综合服务平台。</w:t>
            </w:r>
            <w:r>
              <w:rPr>
                <w:rFonts w:hint="eastAsia" w:ascii="仿宋_GB2312" w:hAnsi="仿宋_GB2312" w:eastAsia="仿宋_GB2312" w:cs="仿宋_GB2312"/>
                <w:lang w:val="en-US" w:eastAsia="zh-CN"/>
              </w:rPr>
              <w:t>建设全市统一的住房资金管理信息系统，统筹相关部门通过一体化集成平台协同开展各类业务。</w:t>
            </w:r>
            <w:r>
              <w:rPr>
                <w:rFonts w:hint="eastAsia" w:ascii="仿宋_GB2312" w:hAnsi="仿宋_GB2312" w:eastAsia="仿宋_GB2312" w:cs="仿宋_GB2312"/>
                <w:b/>
                <w:bCs/>
                <w:lang w:val="en-US" w:eastAsia="zh-CN"/>
              </w:rPr>
              <w:t>2.在全系统率先实现住房资金“管办分离、系统协同”。</w:t>
            </w:r>
            <w:r>
              <w:rPr>
                <w:rFonts w:hint="eastAsia" w:ascii="仿宋_GB2312" w:hAnsi="仿宋_GB2312" w:eastAsia="仿宋_GB2312" w:cs="仿宋_GB2312"/>
                <w:lang w:val="en-US" w:eastAsia="zh-CN"/>
              </w:rPr>
              <w:t>构建行政监管与资金运营分离、使用审批与资金收付分离的管理新机制，达成《预售资金监管协议》实现全程“网签”，免除持拨付证明和转账支票申请银行转账等环节。</w:t>
            </w:r>
            <w:r>
              <w:rPr>
                <w:rFonts w:hint="eastAsia" w:ascii="仿宋_GB2312" w:hAnsi="仿宋_GB2312" w:eastAsia="仿宋_GB2312" w:cs="仿宋_GB2312"/>
                <w:b/>
                <w:bCs/>
                <w:lang w:val="en-US" w:eastAsia="zh-CN"/>
              </w:rPr>
              <w:t>3.在全行业率先实现住房资金与数据应用“购房一件事”场景化应用。</w:t>
            </w:r>
            <w:r>
              <w:rPr>
                <w:rFonts w:hint="eastAsia" w:ascii="仿宋_GB2312" w:hAnsi="仿宋_GB2312" w:eastAsia="仿宋_GB2312" w:cs="仿宋_GB2312"/>
                <w:lang w:val="en-US" w:eastAsia="zh-CN"/>
              </w:rPr>
              <w:t>住房资金流水与业务流水实时纳入住房资金结算应用系统对账，购房群众使用公积金支付购房首付款、提取个人住房公积金等多项业务可在开发商售楼部“一事联办”，实现“高效办成购房一件事”。</w:t>
            </w:r>
          </w:p>
        </w:tc>
        <w:tc>
          <w:tcPr>
            <w:tcW w:w="678" w:type="pct"/>
            <w:noWrap w:val="0"/>
            <w:vAlign w:val="center"/>
          </w:tcPr>
          <w:p w14:paraId="33B85C25">
            <w:pPr>
              <w:bidi w:val="0"/>
              <w:rPr>
                <w:rFonts w:hint="default" w:ascii="仿宋_GB2312" w:hAnsi="仿宋_GB2312" w:eastAsia="仿宋_GB2312" w:cs="仿宋_GB2312"/>
                <w:kern w:val="2"/>
                <w:sz w:val="21"/>
                <w:szCs w:val="24"/>
                <w:lang w:val="en-US" w:eastAsia="zh-CN" w:bidi="ar-SA"/>
              </w:rPr>
            </w:pPr>
            <w:r>
              <w:rPr>
                <w:rFonts w:hint="eastAsia" w:ascii="仿宋_GB2312" w:hAnsi="仿宋_GB2312" w:eastAsia="仿宋_GB2312" w:cs="仿宋_GB2312"/>
                <w:lang w:val="en-US" w:eastAsia="zh-CN"/>
              </w:rPr>
              <w:t>市住房公积金中心</w:t>
            </w:r>
          </w:p>
        </w:tc>
      </w:tr>
    </w:tbl>
    <w:p w14:paraId="3248EA1F">
      <w:pPr>
        <w:rPr>
          <w:rFonts w:hint="default"/>
          <w:lang w:val="en-US" w:eastAsia="zh-CN"/>
        </w:rPr>
      </w:pPr>
    </w:p>
    <w:p w14:paraId="6D92C200">
      <w:bookmarkStart w:id="0" w:name="_GoBack"/>
      <w:bookmarkEnd w:id="0"/>
    </w:p>
    <w:sectPr>
      <w:pgSz w:w="16838" w:h="11906" w:orient="landscape"/>
      <w:pgMar w:top="1701" w:right="1984" w:bottom="1701"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A32FF9"/>
    <w:rsid w:val="6EA32F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99"/>
    <w:pPr>
      <w:ind w:firstLine="420" w:firstLineChars="200"/>
    </w:pPr>
  </w:style>
  <w:style w:type="paragraph" w:styleId="3">
    <w:name w:val="Body Text Indent"/>
    <w:basedOn w:val="1"/>
    <w:next w:val="2"/>
    <w:qFormat/>
    <w:uiPriority w:val="99"/>
    <w:pPr>
      <w:spacing w:after="12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2025-02-12T08:05:00Z</dcterms:created>
  <dc:creator>-</dc:creator>
  <cp:lastModifiedBy>-</cp:lastModifiedBy>
  <dcterms:modified xsi:type="dcterms:W3CDTF">2025-02-12T08:05:14Z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70E616DC30714BDCA2474C1E3E8DA650_11</vt:lpwstr>
  </property>
  <property fmtid="{D5CDD505-2E9C-101B-9397-08002B2CF9AE}" pid="4" name="KSOTemplateDocerSaveRecord">
    <vt:lpwstr>eyJoZGlkIjoiYTRhM2Q3ZWUzMjE0YTIzZjEwZjg5MTY0YmUwNzM2MmUiLCJ1c2VySWQiOiI0OTk3NjUwNTgifQ==</vt:lpwstr>
  </property>
</Properties>
</file>