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eastAsia="黑体" w:cs="Times New Roman Regular"/>
          <w:color w:val="auto"/>
          <w:sz w:val="72"/>
          <w:szCs w:val="7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color w:val="auto"/>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小标宋简体" w:cs="Times New Roman"/>
          <w:color w:val="auto"/>
          <w:kern w:val="0"/>
          <w:sz w:val="52"/>
          <w:szCs w:val="52"/>
          <w:highlight w:val="none"/>
          <w:lang w:val="en-US" w:eastAsia="zh-CN" w:bidi="ar"/>
        </w:rPr>
      </w:pPr>
      <w:r>
        <w:rPr>
          <w:rFonts w:hint="eastAsia" w:ascii="Times New Roman" w:hAnsi="Times New Roman" w:eastAsia="方正小标宋简体" w:cs="Times New Roman"/>
          <w:color w:val="auto"/>
          <w:kern w:val="0"/>
          <w:sz w:val="52"/>
          <w:szCs w:val="52"/>
          <w:highlight w:val="none"/>
          <w:lang w:val="en-US" w:eastAsia="zh-CN" w:bidi="ar"/>
        </w:rPr>
        <w:t>鄂州市“</w:t>
      </w:r>
      <w:r>
        <w:rPr>
          <w:rFonts w:hint="default" w:ascii="Times New Roman" w:hAnsi="Times New Roman" w:eastAsia="方正小标宋简体" w:cs="Times New Roman"/>
          <w:color w:val="auto"/>
          <w:kern w:val="0"/>
          <w:sz w:val="52"/>
          <w:szCs w:val="52"/>
          <w:highlight w:val="none"/>
          <w:lang w:val="en-US" w:eastAsia="zh-CN" w:bidi="ar"/>
        </w:rPr>
        <w:t>十五五</w:t>
      </w:r>
      <w:r>
        <w:rPr>
          <w:rFonts w:hint="eastAsia" w:ascii="Times New Roman" w:hAnsi="Times New Roman" w:eastAsia="方正小标宋简体" w:cs="Times New Roman"/>
          <w:color w:val="auto"/>
          <w:kern w:val="0"/>
          <w:sz w:val="52"/>
          <w:szCs w:val="52"/>
          <w:highlight w:val="none"/>
          <w:lang w:val="en-US" w:eastAsia="zh-CN" w:bidi="ar"/>
        </w:rPr>
        <w:t>”</w:t>
      </w:r>
      <w:r>
        <w:rPr>
          <w:rFonts w:hint="default" w:ascii="Times New Roman" w:hAnsi="Times New Roman" w:eastAsia="方正小标宋简体" w:cs="Times New Roman"/>
          <w:color w:val="auto"/>
          <w:kern w:val="0"/>
          <w:sz w:val="52"/>
          <w:szCs w:val="52"/>
          <w:highlight w:val="none"/>
          <w:lang w:val="en-US" w:eastAsia="zh-CN" w:bidi="ar"/>
        </w:rPr>
        <w:t>新型能源体系</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小标宋简体" w:cs="Times New Roman"/>
          <w:color w:val="auto"/>
          <w:kern w:val="0"/>
          <w:sz w:val="52"/>
          <w:szCs w:val="52"/>
          <w:highlight w:val="none"/>
          <w:lang w:val="en-US" w:eastAsia="zh-CN" w:bidi="ar"/>
        </w:rPr>
      </w:pPr>
      <w:r>
        <w:rPr>
          <w:rFonts w:hint="default" w:ascii="Times New Roman" w:hAnsi="Times New Roman" w:eastAsia="方正小标宋简体" w:cs="Times New Roman"/>
          <w:color w:val="auto"/>
          <w:kern w:val="0"/>
          <w:sz w:val="52"/>
          <w:szCs w:val="52"/>
          <w:highlight w:val="none"/>
          <w:lang w:val="en-US" w:eastAsia="zh-CN" w:bidi="ar"/>
        </w:rPr>
        <w:t>建设规划</w:t>
      </w:r>
    </w:p>
    <w:p>
      <w:pPr>
        <w:widowControl w:val="0"/>
        <w:spacing w:line="240" w:lineRule="auto"/>
        <w:ind w:firstLine="0" w:firstLineChars="0"/>
        <w:jc w:val="center"/>
        <w:rPr>
          <w:rFonts w:hint="eastAsia" w:ascii="Times New Roman" w:hAnsi="Times New Roman" w:eastAsia="楷体" w:cs="Times New Roman"/>
          <w:color w:val="auto"/>
          <w:sz w:val="44"/>
          <w:szCs w:val="44"/>
          <w:lang w:val="en-US" w:eastAsia="zh-CN" w:bidi="ar"/>
        </w:rPr>
      </w:pPr>
      <w:r>
        <w:rPr>
          <w:rFonts w:hint="default" w:ascii="Times New Roman" w:hAnsi="Times New Roman" w:eastAsia="楷体" w:cs="Times New Roman"/>
          <w:color w:val="auto"/>
          <w:sz w:val="44"/>
          <w:szCs w:val="44"/>
          <w:highlight w:val="none"/>
          <w:lang w:val="en-US" w:eastAsia="zh-CN" w:bidi="ar"/>
        </w:rPr>
        <w:t>（</w:t>
      </w:r>
      <w:r>
        <w:rPr>
          <w:rFonts w:hint="eastAsia" w:ascii="Times New Roman" w:hAnsi="Times New Roman" w:eastAsia="楷体" w:cs="Times New Roman"/>
          <w:color w:val="auto"/>
          <w:sz w:val="44"/>
          <w:szCs w:val="44"/>
          <w:highlight w:val="none"/>
          <w:lang w:val="en-US" w:eastAsia="zh-CN" w:bidi="ar"/>
        </w:rPr>
        <w:t>征求意见稿</w:t>
      </w:r>
      <w:r>
        <w:rPr>
          <w:rFonts w:hint="default" w:ascii="Times New Roman" w:hAnsi="Times New Roman" w:eastAsia="楷体" w:cs="Times New Roman"/>
          <w:color w:val="auto"/>
          <w:sz w:val="44"/>
          <w:szCs w:val="44"/>
          <w:highlight w:val="none"/>
          <w:lang w:val="en-US" w:eastAsia="zh-CN" w:bidi="ar"/>
        </w:rPr>
        <w:t>）</w:t>
      </w:r>
    </w:p>
    <w:p>
      <w:pPr>
        <w:keepNext w:val="0"/>
        <w:keepLines w:val="0"/>
        <w:pageBreakBefore w:val="0"/>
        <w:widowControl w:val="0"/>
        <w:kinsoku/>
        <w:wordWrap/>
        <w:overflowPunct/>
        <w:topLinePunct w:val="0"/>
        <w:autoSpaceDE/>
        <w:autoSpaceDN/>
        <w:bidi w:val="0"/>
        <w:ind w:firstLine="0" w:firstLineChars="0"/>
        <w:jc w:val="center"/>
        <w:rPr>
          <w:rFonts w:hint="default"/>
          <w:color w:val="auto"/>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color w:val="auto"/>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ind w:firstLine="0" w:firstLineChars="0"/>
        <w:jc w:val="center"/>
        <w:rPr>
          <w:rFonts w:hint="default" w:ascii="Times New Roman Regular" w:hAnsi="Times New Roman Regular" w:eastAsia="黑体" w:cs="Times New Roman Regular"/>
          <w:color w:val="auto"/>
          <w:kern w:val="44"/>
          <w:sz w:val="52"/>
          <w:szCs w:val="5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Chars="0"/>
        <w:jc w:val="center"/>
        <w:textAlignment w:val="auto"/>
        <w:rPr>
          <w:rFonts w:hint="default" w:ascii="Times New Roman" w:hAnsi="Times New Roman" w:eastAsia="楷体" w:cs="Times New Roman"/>
          <w:color w:val="auto"/>
          <w:sz w:val="44"/>
          <w:szCs w:val="44"/>
          <w:highlight w:val="none"/>
        </w:rPr>
      </w:pPr>
      <w:r>
        <w:rPr>
          <w:rFonts w:hint="default" w:ascii="Times New Roman" w:hAnsi="Times New Roman" w:eastAsia="楷体" w:cs="Times New Roman"/>
          <w:color w:val="auto"/>
          <w:sz w:val="44"/>
          <w:szCs w:val="44"/>
          <w:highlight w:val="none"/>
          <w:lang w:val="en-US" w:eastAsia="zh-CN"/>
        </w:rPr>
        <w:t>鄂州市</w:t>
      </w:r>
      <w:r>
        <w:rPr>
          <w:rFonts w:hint="default" w:ascii="Times New Roman" w:hAnsi="Times New Roman" w:eastAsia="楷体" w:cs="Times New Roman"/>
          <w:color w:val="auto"/>
          <w:sz w:val="44"/>
          <w:szCs w:val="44"/>
          <w:highlight w:val="none"/>
        </w:rPr>
        <w:t>发展和改革委员会</w:t>
      </w:r>
    </w:p>
    <w:p>
      <w:pPr>
        <w:keepNext w:val="0"/>
        <w:keepLines w:val="0"/>
        <w:pageBreakBefore w:val="0"/>
        <w:widowControl w:val="0"/>
        <w:kinsoku/>
        <w:wordWrap/>
        <w:overflowPunct/>
        <w:topLinePunct w:val="0"/>
        <w:autoSpaceDE/>
        <w:autoSpaceDN/>
        <w:bidi w:val="0"/>
        <w:adjustRightInd/>
        <w:snapToGrid/>
        <w:spacing w:line="600" w:lineRule="exact"/>
        <w:ind w:firstLineChars="0"/>
        <w:jc w:val="center"/>
        <w:textAlignment w:val="auto"/>
        <w:rPr>
          <w:rFonts w:hint="default" w:ascii="Times New Roman" w:hAnsi="Times New Roman" w:eastAsia="楷体" w:cs="Times New Roman"/>
          <w:color w:val="auto"/>
          <w:sz w:val="44"/>
          <w:szCs w:val="44"/>
          <w:highlight w:val="none"/>
        </w:rPr>
      </w:pPr>
      <w:r>
        <w:rPr>
          <w:rFonts w:hint="default" w:ascii="Times New Roman" w:hAnsi="Times New Roman" w:eastAsia="楷体" w:cs="Times New Roman"/>
          <w:color w:val="auto"/>
          <w:sz w:val="44"/>
          <w:szCs w:val="44"/>
          <w:highlight w:val="none"/>
        </w:rPr>
        <w:t>202</w:t>
      </w:r>
      <w:r>
        <w:rPr>
          <w:rFonts w:hint="default" w:ascii="Times New Roman" w:hAnsi="Times New Roman" w:eastAsia="楷体" w:cs="Times New Roman"/>
          <w:color w:val="auto"/>
          <w:sz w:val="44"/>
          <w:szCs w:val="44"/>
          <w:highlight w:val="none"/>
          <w:lang w:val="en-US" w:eastAsia="zh-CN"/>
        </w:rPr>
        <w:t>6</w:t>
      </w:r>
      <w:r>
        <w:rPr>
          <w:rFonts w:hint="default" w:ascii="Times New Roman" w:hAnsi="Times New Roman" w:eastAsia="楷体" w:cs="Times New Roman"/>
          <w:color w:val="auto"/>
          <w:sz w:val="44"/>
          <w:szCs w:val="44"/>
          <w:highlight w:val="none"/>
        </w:rPr>
        <w:t>年</w:t>
      </w:r>
      <w:r>
        <w:rPr>
          <w:rFonts w:hint="eastAsia" w:ascii="Times New Roman" w:hAnsi="Times New Roman" w:eastAsia="楷体" w:cs="Times New Roman"/>
          <w:color w:val="auto"/>
          <w:sz w:val="44"/>
          <w:szCs w:val="44"/>
          <w:highlight w:val="none"/>
          <w:lang w:val="en-US" w:eastAsia="zh-CN"/>
        </w:rPr>
        <w:t>6</w:t>
      </w:r>
      <w:r>
        <w:rPr>
          <w:rFonts w:hint="default" w:ascii="Times New Roman" w:hAnsi="Times New Roman" w:eastAsia="楷体" w:cs="Times New Roman"/>
          <w:color w:val="auto"/>
          <w:sz w:val="44"/>
          <w:szCs w:val="44"/>
          <w:highlight w:val="none"/>
        </w:rPr>
        <w:t>月</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Regular" w:hAnsi="Times New Roman Regular" w:cs="Times New Roman Regular"/>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aperSrc/>
          <w:pgNumType w:fmt="upperRoman"/>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snapToGrid/>
        <w:textAlignment w:val="auto"/>
        <w:rPr>
          <w:color w:val="auto"/>
          <w:highlight w:val="none"/>
        </w:rPr>
      </w:pPr>
      <w:bookmarkStart w:id="0" w:name="_Toc2099"/>
      <w:bookmarkStart w:id="1" w:name="_Toc215531076"/>
    </w:p>
    <w:p>
      <w:pPr>
        <w:spacing w:before="0" w:beforeLines="0" w:after="0" w:afterLines="0" w:line="240" w:lineRule="auto"/>
        <w:ind w:left="0" w:leftChars="0" w:right="0" w:rightChars="0" w:firstLine="0" w:firstLineChars="0"/>
        <w:jc w:val="center"/>
        <w:rPr>
          <w:rFonts w:hint="eastAsia" w:ascii="宋体" w:hAnsi="宋体" w:eastAsia="宋体" w:cs="宋体"/>
          <w:color w:val="auto"/>
          <w:kern w:val="2"/>
          <w:sz w:val="44"/>
          <w:szCs w:val="44"/>
          <w:highlight w:val="none"/>
          <w:lang w:val="en-US" w:eastAsia="zh-CN" w:bidi="ar-SA"/>
        </w:rPr>
        <w:sectPr>
          <w:headerReference r:id="rId11" w:type="default"/>
          <w:footerReference r:id="rId12" w:type="default"/>
          <w:pgSz w:w="11906" w:h="16838"/>
          <w:pgMar w:top="1440" w:right="1800" w:bottom="1440" w:left="1800" w:header="851" w:footer="992" w:gutter="0"/>
          <w:paperSrc/>
          <w:pgNumType w:fmt="upperRoman"/>
          <w:cols w:space="0" w:num="1"/>
          <w:rtlGutter w:val="0"/>
          <w:docGrid w:type="lines" w:linePitch="312" w:charSpace="0"/>
        </w:sectPr>
      </w:pPr>
    </w:p>
    <w:sdt>
      <w:sdtPr>
        <w:rPr>
          <w:rFonts w:hint="eastAsia" w:ascii="宋体" w:hAnsi="宋体" w:eastAsia="宋体" w:cs="宋体"/>
          <w:color w:val="auto"/>
          <w:kern w:val="2"/>
          <w:sz w:val="44"/>
          <w:szCs w:val="44"/>
          <w:highlight w:val="none"/>
          <w:lang w:val="en-US" w:eastAsia="zh-CN" w:bidi="ar-SA"/>
        </w:rPr>
        <w:id w:val="147481711"/>
        <w15:color w:val="DBDBDB"/>
        <w:docPartObj>
          <w:docPartGallery w:val="Table of Contents"/>
          <w:docPartUnique/>
        </w:docPartObj>
      </w:sdtPr>
      <w:sdtEndPr>
        <w:rPr>
          <w:rFonts w:hint="eastAsia" w:ascii="宋体" w:hAnsi="宋体" w:eastAsia="宋体" w:cs="宋体"/>
          <w:b/>
          <w:color w:val="auto"/>
          <w:kern w:val="2"/>
          <w:sz w:val="44"/>
          <w:szCs w:val="44"/>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color w:val="auto"/>
              <w:sz w:val="44"/>
              <w:szCs w:val="44"/>
              <w:highlight w:val="none"/>
            </w:rPr>
          </w:pPr>
          <w:r>
            <w:rPr>
              <w:rFonts w:hint="eastAsia" w:ascii="方正小标宋简体" w:hAnsi="方正小标宋简体" w:eastAsia="方正小标宋简体" w:cs="方正小标宋简体"/>
              <w:color w:val="auto"/>
              <w:kern w:val="2"/>
              <w:sz w:val="44"/>
              <w:szCs w:val="44"/>
              <w:highlight w:val="none"/>
              <w:lang w:val="en-US" w:eastAsia="zh-CN" w:bidi="ar-SA"/>
            </w:rPr>
            <w:t>目</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录</w:t>
          </w:r>
        </w:p>
        <w:p>
          <w:pPr>
            <w:pStyle w:val="12"/>
            <w:tabs>
              <w:tab w:val="right" w:leader="dot" w:pos="8306"/>
            </w:tabs>
          </w:pP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TOC \o "1-2" \h \u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_Toc12917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lang w:val="en-US" w:eastAsia="zh-CN"/>
            </w:rPr>
            <w:t xml:space="preserve">一、 </w:t>
          </w:r>
          <w:r>
            <w:rPr>
              <w:rFonts w:hint="eastAsia" w:ascii="黑体" w:hAnsi="黑体" w:eastAsia="黑体" w:cs="黑体"/>
              <w:highlight w:val="none"/>
              <w:lang w:val="en-US" w:eastAsia="zh-CN"/>
            </w:rPr>
            <w:t>发展基础和形势</w:t>
          </w:r>
          <w:r>
            <w:tab/>
          </w:r>
          <w:r>
            <w:fldChar w:fldCharType="begin"/>
          </w:r>
          <w:r>
            <w:instrText xml:space="preserve"> PAGEREF _Toc12917 \h </w:instrText>
          </w:r>
          <w:r>
            <w:fldChar w:fldCharType="separate"/>
          </w:r>
          <w:r>
            <w:t>1</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_Toc19483 </w:instrText>
          </w:r>
          <w:r>
            <w:rPr>
              <w:rFonts w:hint="eastAsia" w:asciiTheme="minorEastAsia" w:hAnsiTheme="minorEastAsia" w:eastAsiaTheme="minorEastAsia" w:cstheme="minorEastAsia"/>
              <w:szCs w:val="28"/>
              <w:highlight w:val="none"/>
            </w:rPr>
            <w:fldChar w:fldCharType="separate"/>
          </w:r>
          <w:r>
            <w:rPr>
              <w:rFonts w:hint="eastAsia"/>
              <w:highlight w:val="none"/>
            </w:rPr>
            <w:t>（一）</w:t>
          </w:r>
          <w:r>
            <w:rPr>
              <w:rFonts w:hint="eastAsia"/>
              <w:highlight w:val="none"/>
              <w:lang w:val="en-US" w:eastAsia="zh-CN"/>
            </w:rPr>
            <w:t>发展基础</w:t>
          </w:r>
          <w:r>
            <w:tab/>
          </w:r>
          <w:r>
            <w:fldChar w:fldCharType="begin"/>
          </w:r>
          <w:r>
            <w:instrText xml:space="preserve"> PAGEREF _Toc19483 \h </w:instrText>
          </w:r>
          <w:r>
            <w:fldChar w:fldCharType="separate"/>
          </w:r>
          <w:r>
            <w:t>1</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_Toc613 </w:instrText>
          </w:r>
          <w:r>
            <w:rPr>
              <w:rFonts w:hint="eastAsia" w:asciiTheme="minorEastAsia" w:hAnsiTheme="minorEastAsia" w:eastAsiaTheme="minorEastAsia" w:cstheme="minorEastAsia"/>
              <w:szCs w:val="28"/>
              <w:highlight w:val="none"/>
            </w:rPr>
            <w:fldChar w:fldCharType="separate"/>
          </w:r>
          <w:r>
            <w:rPr>
              <w:rFonts w:hint="eastAsia"/>
              <w:highlight w:val="none"/>
            </w:rPr>
            <w:t>（</w:t>
          </w:r>
          <w:r>
            <w:rPr>
              <w:rFonts w:hint="eastAsia"/>
              <w:highlight w:val="none"/>
              <w:lang w:val="en-US" w:eastAsia="zh-CN"/>
            </w:rPr>
            <w:t>二</w:t>
          </w:r>
          <w:r>
            <w:rPr>
              <w:rFonts w:hint="eastAsia"/>
              <w:highlight w:val="none"/>
            </w:rPr>
            <w:t>）</w:t>
          </w:r>
          <w:r>
            <w:rPr>
              <w:rFonts w:hint="eastAsia"/>
              <w:highlight w:val="none"/>
              <w:lang w:val="en-US" w:eastAsia="zh-CN"/>
            </w:rPr>
            <w:t>面临形势</w:t>
          </w:r>
          <w:r>
            <w:tab/>
          </w:r>
          <w:r>
            <w:fldChar w:fldCharType="begin"/>
          </w:r>
          <w:r>
            <w:instrText xml:space="preserve"> PAGEREF _Toc613 \h </w:instrText>
          </w:r>
          <w:r>
            <w:fldChar w:fldCharType="separate"/>
          </w:r>
          <w:r>
            <w:t>4</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_Toc30595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二、 </w:t>
          </w:r>
          <w:r>
            <w:rPr>
              <w:rFonts w:hint="eastAsia" w:ascii="黑体" w:hAnsi="黑体" w:eastAsia="黑体" w:cs="黑体"/>
              <w:i w:val="0"/>
              <w:iCs w:val="0"/>
              <w:caps w:val="0"/>
              <w:spacing w:val="0"/>
              <w:szCs w:val="23"/>
              <w:highlight w:val="none"/>
              <w:shd w:val="clear" w:fill="FFFFFF"/>
              <w:lang w:val="en-US" w:eastAsia="zh-CN"/>
            </w:rPr>
            <w:t>总体要求</w:t>
          </w:r>
          <w:r>
            <w:tab/>
          </w:r>
          <w:r>
            <w:fldChar w:fldCharType="begin"/>
          </w:r>
          <w:r>
            <w:instrText xml:space="preserve"> PAGEREF _Toc30595 \h </w:instrText>
          </w:r>
          <w:r>
            <w:fldChar w:fldCharType="separate"/>
          </w:r>
          <w:r>
            <w:t>6</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_Toc11051 </w:instrText>
          </w:r>
          <w:r>
            <w:rPr>
              <w:rFonts w:hint="eastAsia" w:asciiTheme="minorEastAsia" w:hAnsiTheme="minorEastAsia" w:eastAsiaTheme="minorEastAsia" w:cstheme="minorEastAsia"/>
              <w:szCs w:val="28"/>
              <w:highlight w:val="none"/>
            </w:rPr>
            <w:fldChar w:fldCharType="separate"/>
          </w:r>
          <w:r>
            <w:rPr>
              <w:rFonts w:hint="eastAsia"/>
              <w:lang w:val="en-US" w:eastAsia="zh-CN"/>
            </w:rPr>
            <w:t xml:space="preserve">（一） </w:t>
          </w:r>
          <w:r>
            <w:rPr>
              <w:rFonts w:hint="eastAsia"/>
              <w:highlight w:val="none"/>
              <w:lang w:val="en-US" w:eastAsia="zh-CN"/>
            </w:rPr>
            <w:t>指导思想</w:t>
          </w:r>
          <w:r>
            <w:tab/>
          </w:r>
          <w:r>
            <w:fldChar w:fldCharType="begin"/>
          </w:r>
          <w:r>
            <w:instrText xml:space="preserve"> PAGEREF _Toc11051 \h </w:instrText>
          </w:r>
          <w:r>
            <w:fldChar w:fldCharType="separate"/>
          </w:r>
          <w:r>
            <w:t>6</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_Toc1628 </w:instrText>
          </w:r>
          <w:r>
            <w:rPr>
              <w:rFonts w:hint="eastAsia" w:asciiTheme="minorEastAsia" w:hAnsiTheme="minorEastAsia" w:eastAsiaTheme="minorEastAsia" w:cstheme="minorEastAsia"/>
              <w:szCs w:val="28"/>
              <w:highlight w:val="none"/>
            </w:rPr>
            <w:fldChar w:fldCharType="separate"/>
          </w:r>
          <w:r>
            <w:rPr>
              <w:rFonts w:hint="eastAsia"/>
              <w:lang w:val="en-US" w:eastAsia="zh-CN"/>
            </w:rPr>
            <w:t xml:space="preserve">（二） </w:t>
          </w:r>
          <w:r>
            <w:rPr>
              <w:rFonts w:hint="eastAsia"/>
              <w:highlight w:val="none"/>
              <w:lang w:val="en-US" w:eastAsia="zh-CN"/>
            </w:rPr>
            <w:t>基本原则</w:t>
          </w:r>
          <w:r>
            <w:tab/>
          </w:r>
          <w:r>
            <w:fldChar w:fldCharType="begin"/>
          </w:r>
          <w:r>
            <w:instrText xml:space="preserve"> PAGEREF _Toc1628 \h </w:instrText>
          </w:r>
          <w:r>
            <w:fldChar w:fldCharType="separate"/>
          </w:r>
          <w:r>
            <w:t>6</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_Toc17011 </w:instrText>
          </w:r>
          <w:r>
            <w:rPr>
              <w:rFonts w:hint="eastAsia" w:asciiTheme="minorEastAsia" w:hAnsiTheme="minorEastAsia" w:eastAsiaTheme="minorEastAsia" w:cstheme="minorEastAsia"/>
              <w:szCs w:val="28"/>
              <w:highlight w:val="none"/>
            </w:rPr>
            <w:fldChar w:fldCharType="separate"/>
          </w:r>
          <w:r>
            <w:rPr>
              <w:rFonts w:hint="eastAsia"/>
              <w:lang w:val="en-US" w:eastAsia="zh-CN"/>
            </w:rPr>
            <w:t xml:space="preserve">（三） </w:t>
          </w:r>
          <w:r>
            <w:rPr>
              <w:rFonts w:hint="eastAsia"/>
              <w:highlight w:val="none"/>
              <w:lang w:val="en-US" w:eastAsia="zh-CN"/>
            </w:rPr>
            <w:t>发展目标</w:t>
          </w:r>
          <w:r>
            <w:tab/>
          </w:r>
          <w:r>
            <w:fldChar w:fldCharType="begin"/>
          </w:r>
          <w:r>
            <w:instrText xml:space="preserve"> PAGEREF _Toc17011 \h </w:instrText>
          </w:r>
          <w:r>
            <w:fldChar w:fldCharType="separate"/>
          </w:r>
          <w:r>
            <w:t>7</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_Toc25780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lang w:val="en-US" w:eastAsia="zh-CN"/>
            </w:rPr>
            <w:t xml:space="preserve">三、 </w:t>
          </w:r>
          <w:r>
            <w:rPr>
              <w:rFonts w:hint="eastAsia" w:ascii="黑体" w:hAnsi="黑体" w:eastAsia="黑体" w:cs="黑体"/>
              <w:highlight w:val="none"/>
              <w:lang w:val="en-US" w:eastAsia="zh-CN"/>
            </w:rPr>
            <w:t>加快推进新能源多元发展，提升绿色能源供给</w:t>
          </w:r>
          <w:r>
            <w:tab/>
          </w:r>
          <w:r>
            <w:fldChar w:fldCharType="begin"/>
          </w:r>
          <w:r>
            <w:instrText xml:space="preserve"> PAGEREF _Toc25780 \h </w:instrText>
          </w:r>
          <w:r>
            <w:fldChar w:fldCharType="separate"/>
          </w:r>
          <w:r>
            <w:t>9</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_Toc6641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eastAsia" w:ascii="楷体_GB2312" w:hAnsi="楷体_GB2312" w:eastAsia="楷体_GB2312" w:cs="楷体_GB2312"/>
              <w:bCs w:val="0"/>
              <w:szCs w:val="32"/>
              <w:highlight w:val="none"/>
            </w:rPr>
            <w:t>推进</w:t>
          </w:r>
          <w:r>
            <w:rPr>
              <w:rFonts w:hint="eastAsia" w:ascii="楷体_GB2312" w:hAnsi="楷体_GB2312" w:eastAsia="楷体_GB2312" w:cs="楷体_GB2312"/>
              <w:bCs w:val="0"/>
              <w:szCs w:val="32"/>
              <w:highlight w:val="none"/>
              <w:lang w:eastAsia="zh-CN"/>
            </w:rPr>
            <w:t>“</w:t>
          </w:r>
          <w:r>
            <w:rPr>
              <w:rFonts w:hint="eastAsia" w:ascii="楷体_GB2312" w:hAnsi="楷体_GB2312" w:eastAsia="楷体_GB2312" w:cs="楷体_GB2312"/>
              <w:bCs w:val="0"/>
              <w:szCs w:val="32"/>
              <w:highlight w:val="none"/>
            </w:rPr>
            <w:t>光火储</w:t>
          </w:r>
          <w:r>
            <w:rPr>
              <w:rFonts w:hint="eastAsia" w:ascii="楷体_GB2312" w:hAnsi="楷体_GB2312" w:eastAsia="楷体_GB2312" w:cs="楷体_GB2312"/>
              <w:bCs w:val="0"/>
              <w:szCs w:val="32"/>
              <w:highlight w:val="none"/>
              <w:lang w:eastAsia="zh-CN"/>
            </w:rPr>
            <w:t>”</w:t>
          </w:r>
          <w:r>
            <w:rPr>
              <w:rFonts w:hint="eastAsia" w:ascii="楷体_GB2312" w:hAnsi="楷体_GB2312" w:eastAsia="楷体_GB2312" w:cs="楷体_GB2312"/>
              <w:bCs w:val="0"/>
              <w:szCs w:val="32"/>
              <w:highlight w:val="none"/>
            </w:rPr>
            <w:t>一体化</w:t>
          </w:r>
          <w:r>
            <w:rPr>
              <w:rFonts w:hint="eastAsia" w:ascii="楷体_GB2312" w:hAnsi="楷体_GB2312" w:eastAsia="楷体_GB2312" w:cs="楷体_GB2312"/>
              <w:bCs w:val="0"/>
              <w:szCs w:val="32"/>
              <w:highlight w:val="none"/>
              <w:lang w:val="en-US" w:eastAsia="zh-CN"/>
            </w:rPr>
            <w:t>建设</w:t>
          </w:r>
          <w:r>
            <w:tab/>
          </w:r>
          <w:r>
            <w:fldChar w:fldCharType="begin"/>
          </w:r>
          <w:r>
            <w:instrText xml:space="preserve"> PAGEREF _Toc6641 \h </w:instrText>
          </w:r>
          <w:r>
            <w:fldChar w:fldCharType="separate"/>
          </w:r>
          <w:r>
            <w:t>9</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_Toc7085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eastAsia" w:ascii="楷体_GB2312" w:hAnsi="楷体_GB2312" w:eastAsia="楷体_GB2312" w:cs="楷体_GB2312"/>
              <w:bCs w:val="0"/>
              <w:szCs w:val="32"/>
              <w:highlight w:val="none"/>
              <w:lang w:val="en-US" w:eastAsia="zh-CN"/>
            </w:rPr>
            <w:t>加快新能源高质量发展</w:t>
          </w:r>
          <w:r>
            <w:tab/>
          </w:r>
          <w:r>
            <w:fldChar w:fldCharType="begin"/>
          </w:r>
          <w:r>
            <w:instrText xml:space="preserve"> PAGEREF _Toc7085 \h </w:instrText>
          </w:r>
          <w:r>
            <w:fldChar w:fldCharType="separate"/>
          </w:r>
          <w:r>
            <w:t>10</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_Toc4558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（三） </w:t>
          </w:r>
          <w:r>
            <w:rPr>
              <w:rFonts w:hint="eastAsia" w:ascii="楷体_GB2312" w:hAnsi="楷体_GB2312" w:eastAsia="楷体_GB2312" w:cs="楷体_GB2312"/>
              <w:i w:val="0"/>
              <w:iCs w:val="0"/>
              <w:caps w:val="0"/>
              <w:spacing w:val="0"/>
              <w:szCs w:val="23"/>
              <w:highlight w:val="none"/>
              <w:shd w:val="clear" w:fill="FFFFFF"/>
              <w:lang w:val="en-US" w:eastAsia="zh-CN"/>
            </w:rPr>
            <w:t>因地制宜推动生物质利用</w:t>
          </w:r>
          <w:r>
            <w:tab/>
          </w:r>
          <w:r>
            <w:fldChar w:fldCharType="begin"/>
          </w:r>
          <w:r>
            <w:instrText xml:space="preserve"> PAGEREF _Toc4558 \h </w:instrText>
          </w:r>
          <w:r>
            <w:fldChar w:fldCharType="separate"/>
          </w:r>
          <w:r>
            <w:t>11</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_Toc24160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（四） </w:t>
          </w:r>
          <w:r>
            <w:rPr>
              <w:rFonts w:hint="eastAsia" w:ascii="楷体_GB2312" w:hAnsi="楷体_GB2312" w:eastAsia="楷体_GB2312" w:cs="楷体_GB2312"/>
              <w:i w:val="0"/>
              <w:iCs w:val="0"/>
              <w:caps w:val="0"/>
              <w:spacing w:val="0"/>
              <w:szCs w:val="23"/>
              <w:highlight w:val="none"/>
              <w:shd w:val="clear" w:fill="FFFFFF"/>
              <w:lang w:val="en-US" w:eastAsia="zh-CN"/>
            </w:rPr>
            <w:t>强化综合能源利用</w:t>
          </w:r>
          <w:r>
            <w:tab/>
          </w:r>
          <w:r>
            <w:fldChar w:fldCharType="begin"/>
          </w:r>
          <w:r>
            <w:instrText xml:space="preserve"> PAGEREF _Toc24160 \h </w:instrText>
          </w:r>
          <w:r>
            <w:fldChar w:fldCharType="separate"/>
          </w:r>
          <w:r>
            <w:t>12</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_Toc18682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四、 </w:t>
          </w:r>
          <w:r>
            <w:rPr>
              <w:rFonts w:hint="eastAsia" w:ascii="黑体" w:hAnsi="黑体" w:eastAsia="黑体" w:cs="黑体"/>
              <w:i w:val="0"/>
              <w:iCs w:val="0"/>
              <w:caps w:val="0"/>
              <w:spacing w:val="0"/>
              <w:szCs w:val="23"/>
              <w:highlight w:val="none"/>
              <w:shd w:val="clear" w:fill="FFFFFF"/>
              <w:lang w:val="en-US" w:eastAsia="zh-CN"/>
            </w:rPr>
            <w:t>加快建设新型电力系统，强化供电保障能力</w:t>
          </w:r>
          <w:r>
            <w:tab/>
          </w:r>
          <w:r>
            <w:fldChar w:fldCharType="begin"/>
          </w:r>
          <w:r>
            <w:instrText xml:space="preserve"> PAGEREF _Toc18682 \h </w:instrText>
          </w:r>
          <w:r>
            <w:fldChar w:fldCharType="separate"/>
          </w:r>
          <w:r>
            <w:t>12</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_Toc16557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eastAsia" w:ascii="楷体_GB2312" w:hAnsi="楷体_GB2312" w:eastAsia="楷体_GB2312" w:cs="楷体_GB2312"/>
              <w:bCs w:val="0"/>
              <w:szCs w:val="32"/>
              <w:highlight w:val="none"/>
              <w:lang w:val="en-US" w:eastAsia="zh-CN"/>
            </w:rPr>
            <w:t>打造坚强可靠主网</w:t>
          </w:r>
          <w:r>
            <w:tab/>
          </w:r>
          <w:r>
            <w:fldChar w:fldCharType="begin"/>
          </w:r>
          <w:r>
            <w:instrText xml:space="preserve"> PAGEREF _Toc16557 \h </w:instrText>
          </w:r>
          <w:r>
            <w:fldChar w:fldCharType="separate"/>
          </w:r>
          <w:r>
            <w:t>12</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_Toc31166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eastAsia" w:ascii="楷体_GB2312" w:hAnsi="楷体_GB2312" w:eastAsia="楷体_GB2312" w:cs="楷体_GB2312"/>
              <w:i w:val="0"/>
              <w:iCs w:val="0"/>
              <w:caps w:val="0"/>
              <w:spacing w:val="0"/>
              <w:szCs w:val="23"/>
              <w:highlight w:val="none"/>
              <w:shd w:val="clear" w:fill="FFFFFF"/>
              <w:lang w:val="en-US" w:eastAsia="zh-CN"/>
            </w:rPr>
            <w:t>打造智能可靠配网</w:t>
          </w:r>
          <w:r>
            <w:tab/>
          </w:r>
          <w:r>
            <w:fldChar w:fldCharType="begin"/>
          </w:r>
          <w:r>
            <w:instrText xml:space="preserve"> PAGEREF _Toc31166 \h </w:instrText>
          </w:r>
          <w:r>
            <w:fldChar w:fldCharType="separate"/>
          </w:r>
          <w:r>
            <w:t>13</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_Toc23037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（三） </w:t>
          </w:r>
          <w:r>
            <w:rPr>
              <w:rFonts w:hint="eastAsia" w:ascii="楷体_GB2312" w:hAnsi="楷体_GB2312" w:eastAsia="楷体_GB2312" w:cs="楷体_GB2312"/>
              <w:i w:val="0"/>
              <w:iCs w:val="0"/>
              <w:caps w:val="0"/>
              <w:spacing w:val="0"/>
              <w:szCs w:val="23"/>
              <w:highlight w:val="none"/>
              <w:shd w:val="clear" w:fill="FFFFFF"/>
              <w:lang w:val="en-US" w:eastAsia="zh-CN"/>
            </w:rPr>
            <w:t>提升系统调节能力</w:t>
          </w:r>
          <w:r>
            <w:tab/>
          </w:r>
          <w:r>
            <w:fldChar w:fldCharType="begin"/>
          </w:r>
          <w:r>
            <w:instrText xml:space="preserve"> PAGEREF _Toc23037 \h </w:instrText>
          </w:r>
          <w:r>
            <w:fldChar w:fldCharType="separate"/>
          </w:r>
          <w:r>
            <w:t>15</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_Toc4892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五、 </w:t>
          </w:r>
          <w:r>
            <w:rPr>
              <w:rFonts w:hint="eastAsia" w:ascii="黑体" w:hAnsi="黑体" w:eastAsia="黑体" w:cs="黑体"/>
              <w:i w:val="0"/>
              <w:iCs w:val="0"/>
              <w:caps w:val="0"/>
              <w:spacing w:val="0"/>
              <w:szCs w:val="23"/>
              <w:highlight w:val="none"/>
              <w:shd w:val="clear" w:fill="FFFFFF"/>
              <w:lang w:val="en-US" w:eastAsia="zh-CN"/>
            </w:rPr>
            <w:t>夯实化石能源兜底保障，守牢能源安全底线</w:t>
          </w:r>
          <w:r>
            <w:tab/>
          </w:r>
          <w:r>
            <w:fldChar w:fldCharType="begin"/>
          </w:r>
          <w:r>
            <w:instrText xml:space="preserve"> PAGEREF _Toc4892 \h </w:instrText>
          </w:r>
          <w:r>
            <w:fldChar w:fldCharType="separate"/>
          </w:r>
          <w:r>
            <w:t>16</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_Toc9628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eastAsia" w:ascii="楷体_GB2312" w:hAnsi="楷体_GB2312" w:eastAsia="楷体_GB2312" w:cs="楷体_GB2312"/>
              <w:i w:val="0"/>
              <w:iCs w:val="0"/>
              <w:caps w:val="0"/>
              <w:spacing w:val="0"/>
              <w:szCs w:val="23"/>
              <w:highlight w:val="none"/>
              <w:shd w:val="clear" w:fill="FFFFFF"/>
              <w:lang w:val="en-US" w:eastAsia="zh-CN"/>
            </w:rPr>
            <w:t>夯实煤电煤炭保供基础</w:t>
          </w:r>
          <w:r>
            <w:tab/>
          </w:r>
          <w:r>
            <w:fldChar w:fldCharType="begin"/>
          </w:r>
          <w:r>
            <w:instrText xml:space="preserve"> PAGEREF _Toc9628 \h </w:instrText>
          </w:r>
          <w:r>
            <w:fldChar w:fldCharType="separate"/>
          </w:r>
          <w:r>
            <w:t>16</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_Toc4665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eastAsia" w:ascii="楷体_GB2312" w:hAnsi="楷体_GB2312" w:eastAsia="楷体_GB2312" w:cs="楷体_GB2312"/>
              <w:i w:val="0"/>
              <w:iCs w:val="0"/>
              <w:caps w:val="0"/>
              <w:spacing w:val="0"/>
              <w:szCs w:val="23"/>
              <w:highlight w:val="none"/>
              <w:shd w:val="clear" w:fill="FFFFFF"/>
              <w:lang w:val="en-US" w:eastAsia="zh-CN"/>
            </w:rPr>
            <w:t>完善天然气基础设施建设</w:t>
          </w:r>
          <w:r>
            <w:tab/>
          </w:r>
          <w:r>
            <w:fldChar w:fldCharType="begin"/>
          </w:r>
          <w:r>
            <w:instrText xml:space="preserve"> PAGEREF _Toc4665 \h </w:instrText>
          </w:r>
          <w:r>
            <w:fldChar w:fldCharType="separate"/>
          </w:r>
          <w:r>
            <w:t>17</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_Toc1787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六、 </w:t>
          </w:r>
          <w:r>
            <w:rPr>
              <w:rFonts w:hint="eastAsia" w:ascii="黑体" w:hAnsi="黑体" w:eastAsia="黑体" w:cs="黑体"/>
              <w:bCs/>
              <w:i w:val="0"/>
              <w:iCs w:val="0"/>
              <w:caps w:val="0"/>
              <w:spacing w:val="0"/>
              <w:szCs w:val="23"/>
              <w:highlight w:val="none"/>
              <w:shd w:val="clear" w:fill="FFFFFF"/>
            </w:rPr>
            <w:t>深化终端用能清洁替代</w:t>
          </w:r>
          <w:r>
            <w:rPr>
              <w:rFonts w:hint="eastAsia" w:ascii="黑体" w:hAnsi="黑体" w:eastAsia="黑体" w:cs="黑体"/>
              <w:i w:val="0"/>
              <w:iCs w:val="0"/>
              <w:caps w:val="0"/>
              <w:spacing w:val="0"/>
              <w:szCs w:val="23"/>
              <w:highlight w:val="none"/>
              <w:shd w:val="clear" w:fill="FFFFFF"/>
              <w:lang w:val="en-US" w:eastAsia="zh-CN"/>
            </w:rPr>
            <w:t>，推进用能低碳转型</w:t>
          </w:r>
          <w:r>
            <w:tab/>
          </w:r>
          <w:r>
            <w:fldChar w:fldCharType="begin"/>
          </w:r>
          <w:r>
            <w:instrText xml:space="preserve"> PAGEREF _Toc1787 \h </w:instrText>
          </w:r>
          <w:r>
            <w:fldChar w:fldCharType="separate"/>
          </w:r>
          <w:r>
            <w:t>18</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_Toc17432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eastAsia" w:ascii="楷体_GB2312" w:hAnsi="楷体_GB2312" w:eastAsia="楷体_GB2312" w:cs="楷体_GB2312"/>
              <w:i w:val="0"/>
              <w:iCs w:val="0"/>
              <w:caps w:val="0"/>
              <w:spacing w:val="0"/>
              <w:szCs w:val="23"/>
              <w:highlight w:val="none"/>
              <w:shd w:val="clear" w:fill="FFFFFF"/>
              <w:lang w:val="en-US" w:eastAsia="zh-CN"/>
            </w:rPr>
            <w:t>构建清洁高效用能结构</w:t>
          </w:r>
          <w:r>
            <w:tab/>
          </w:r>
          <w:r>
            <w:fldChar w:fldCharType="begin"/>
          </w:r>
          <w:r>
            <w:instrText xml:space="preserve"> PAGEREF _Toc17432 \h </w:instrText>
          </w:r>
          <w:r>
            <w:fldChar w:fldCharType="separate"/>
          </w:r>
          <w:r>
            <w:t>18</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_Toc6402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eastAsia" w:ascii="楷体_GB2312" w:hAnsi="楷体_GB2312" w:eastAsia="楷体_GB2312" w:cs="楷体_GB2312"/>
              <w:i w:val="0"/>
              <w:iCs w:val="0"/>
              <w:caps w:val="0"/>
              <w:spacing w:val="0"/>
              <w:szCs w:val="23"/>
              <w:highlight w:val="none"/>
              <w:shd w:val="clear" w:fill="FFFFFF"/>
              <w:lang w:val="en-US" w:eastAsia="zh-CN"/>
            </w:rPr>
            <w:t>深挖重点领域节能降碳潜力</w:t>
          </w:r>
          <w:r>
            <w:tab/>
          </w:r>
          <w:r>
            <w:fldChar w:fldCharType="begin"/>
          </w:r>
          <w:r>
            <w:instrText xml:space="preserve"> PAGEREF _Toc6402 \h </w:instrText>
          </w:r>
          <w:r>
            <w:fldChar w:fldCharType="separate"/>
          </w:r>
          <w:r>
            <w:t>20</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_Toc6706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（三） </w:t>
          </w:r>
          <w:r>
            <w:rPr>
              <w:rFonts w:hint="eastAsia" w:ascii="楷体_GB2312" w:hAnsi="楷体_GB2312" w:eastAsia="楷体_GB2312" w:cs="楷体_GB2312"/>
              <w:i w:val="0"/>
              <w:iCs w:val="0"/>
              <w:caps w:val="0"/>
              <w:spacing w:val="0"/>
              <w:szCs w:val="23"/>
              <w:highlight w:val="none"/>
              <w:shd w:val="clear" w:fill="FFFFFF"/>
              <w:lang w:val="en-US" w:eastAsia="zh-CN"/>
            </w:rPr>
            <w:t>全面推进全社会节能降碳</w:t>
          </w:r>
          <w:r>
            <w:tab/>
          </w:r>
          <w:r>
            <w:fldChar w:fldCharType="begin"/>
          </w:r>
          <w:r>
            <w:instrText xml:space="preserve"> PAGEREF _Toc6706 \h </w:instrText>
          </w:r>
          <w:r>
            <w:fldChar w:fldCharType="separate"/>
          </w:r>
          <w:r>
            <w:t>21</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_Toc26830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bCs/>
              <w:szCs w:val="23"/>
              <w:lang w:val="en-US" w:eastAsia="zh-CN"/>
            </w:rPr>
            <w:t xml:space="preserve">（四） </w:t>
          </w:r>
          <w:r>
            <w:rPr>
              <w:rFonts w:hint="eastAsia" w:ascii="楷体_GB2312" w:hAnsi="楷体_GB2312" w:eastAsia="楷体_GB2312" w:cs="楷体_GB2312"/>
              <w:bCs/>
              <w:highlight w:val="none"/>
              <w:lang w:val="en-US" w:eastAsia="zh-CN"/>
            </w:rPr>
            <w:t>完善充电网络布局</w:t>
          </w:r>
          <w:r>
            <w:tab/>
          </w:r>
          <w:r>
            <w:fldChar w:fldCharType="begin"/>
          </w:r>
          <w:r>
            <w:instrText xml:space="preserve"> PAGEREF _Toc26830 \h </w:instrText>
          </w:r>
          <w:r>
            <w:fldChar w:fldCharType="separate"/>
          </w:r>
          <w:r>
            <w:t>22</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_Toc20643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七、 </w:t>
          </w:r>
          <w:r>
            <w:rPr>
              <w:rFonts w:hint="eastAsia" w:ascii="黑体" w:hAnsi="黑体" w:eastAsia="黑体" w:cs="黑体"/>
              <w:i w:val="0"/>
              <w:iCs w:val="0"/>
              <w:caps w:val="0"/>
              <w:spacing w:val="0"/>
              <w:szCs w:val="23"/>
              <w:highlight w:val="none"/>
              <w:shd w:val="clear" w:fill="FFFFFF"/>
              <w:lang w:val="en-US" w:eastAsia="zh-CN"/>
            </w:rPr>
            <w:t>强化能源科技创新攻坚，壮大新型能源产业</w:t>
          </w:r>
          <w:r>
            <w:tab/>
          </w:r>
          <w:r>
            <w:fldChar w:fldCharType="begin"/>
          </w:r>
          <w:r>
            <w:instrText xml:space="preserve"> PAGEREF _Toc20643 \h </w:instrText>
          </w:r>
          <w:r>
            <w:fldChar w:fldCharType="separate"/>
          </w:r>
          <w:r>
            <w:t>24</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_Toc32664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eastAsia" w:ascii="楷体_GB2312" w:hAnsi="楷体_GB2312" w:eastAsia="楷体_GB2312" w:cs="楷体_GB2312"/>
              <w:i w:val="0"/>
              <w:iCs w:val="0"/>
              <w:caps w:val="0"/>
              <w:spacing w:val="0"/>
              <w:szCs w:val="23"/>
              <w:highlight w:val="none"/>
              <w:shd w:val="clear" w:fill="FFFFFF"/>
              <w:lang w:val="en-US" w:eastAsia="zh-CN"/>
            </w:rPr>
            <w:t>强化科技创新实力</w:t>
          </w:r>
          <w:r>
            <w:tab/>
          </w:r>
          <w:r>
            <w:fldChar w:fldCharType="begin"/>
          </w:r>
          <w:r>
            <w:instrText xml:space="preserve"> PAGEREF _Toc32664 \h </w:instrText>
          </w:r>
          <w:r>
            <w:fldChar w:fldCharType="separate"/>
          </w:r>
          <w:r>
            <w:t>24</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_Toc23312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eastAsia" w:ascii="楷体_GB2312" w:hAnsi="楷体_GB2312" w:eastAsia="楷体_GB2312" w:cs="楷体_GB2312"/>
              <w:i w:val="0"/>
              <w:iCs w:val="0"/>
              <w:caps w:val="0"/>
              <w:spacing w:val="0"/>
              <w:szCs w:val="23"/>
              <w:highlight w:val="none"/>
              <w:shd w:val="clear" w:fill="FFFFFF"/>
              <w:lang w:val="en-US" w:eastAsia="zh-CN"/>
            </w:rPr>
            <w:t>大力推动储能产业发展</w:t>
          </w:r>
          <w:r>
            <w:tab/>
          </w:r>
          <w:r>
            <w:fldChar w:fldCharType="begin"/>
          </w:r>
          <w:r>
            <w:instrText xml:space="preserve"> PAGEREF _Toc23312 \h </w:instrText>
          </w:r>
          <w:r>
            <w:fldChar w:fldCharType="separate"/>
          </w:r>
          <w:r>
            <w:t>25</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_Toc31892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（三） </w:t>
          </w:r>
          <w:r>
            <w:rPr>
              <w:rFonts w:hint="eastAsia" w:ascii="楷体_GB2312" w:hAnsi="楷体_GB2312" w:eastAsia="楷体_GB2312" w:cs="楷体_GB2312"/>
              <w:i w:val="0"/>
              <w:iCs w:val="0"/>
              <w:caps w:val="0"/>
              <w:spacing w:val="0"/>
              <w:szCs w:val="23"/>
              <w:highlight w:val="none"/>
              <w:shd w:val="clear" w:fill="FFFFFF"/>
              <w:lang w:val="en-US" w:eastAsia="zh-CN"/>
            </w:rPr>
            <w:t>推进先进能源装备制造产业发展</w:t>
          </w:r>
          <w:r>
            <w:tab/>
          </w:r>
          <w:r>
            <w:fldChar w:fldCharType="begin"/>
          </w:r>
          <w:r>
            <w:instrText xml:space="preserve"> PAGEREF _Toc31892 \h </w:instrText>
          </w:r>
          <w:r>
            <w:fldChar w:fldCharType="separate"/>
          </w:r>
          <w:r>
            <w:t>26</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_Toc30066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（四） </w:t>
          </w:r>
          <w:r>
            <w:rPr>
              <w:rFonts w:hint="eastAsia" w:ascii="楷体_GB2312" w:hAnsi="楷体_GB2312" w:eastAsia="楷体_GB2312" w:cs="楷体_GB2312"/>
              <w:i w:val="0"/>
              <w:iCs w:val="0"/>
              <w:caps w:val="0"/>
              <w:spacing w:val="0"/>
              <w:szCs w:val="23"/>
              <w:highlight w:val="none"/>
              <w:shd w:val="clear" w:fill="FFFFFF"/>
              <w:lang w:val="en-US" w:eastAsia="zh-CN"/>
            </w:rPr>
            <w:t>规划布局氢能产业</w:t>
          </w:r>
          <w:r>
            <w:tab/>
          </w:r>
          <w:r>
            <w:fldChar w:fldCharType="begin"/>
          </w:r>
          <w:r>
            <w:instrText xml:space="preserve"> PAGEREF _Toc30066 \h </w:instrText>
          </w:r>
          <w:r>
            <w:fldChar w:fldCharType="separate"/>
          </w:r>
          <w:r>
            <w:t>26</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_Toc18186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八、 </w:t>
          </w:r>
          <w:r>
            <w:rPr>
              <w:rFonts w:hint="eastAsia" w:ascii="黑体" w:hAnsi="黑体" w:eastAsia="黑体" w:cs="黑体"/>
              <w:i w:val="0"/>
              <w:iCs w:val="0"/>
              <w:caps w:val="0"/>
              <w:spacing w:val="0"/>
              <w:szCs w:val="23"/>
              <w:highlight w:val="none"/>
              <w:shd w:val="clear" w:fill="FFFFFF"/>
              <w:lang w:val="en-US" w:eastAsia="zh-CN"/>
            </w:rPr>
            <w:t>深化能源体制机制改革，健全现代治理体系</w:t>
          </w:r>
          <w:r>
            <w:tab/>
          </w:r>
          <w:r>
            <w:fldChar w:fldCharType="begin"/>
          </w:r>
          <w:r>
            <w:instrText xml:space="preserve"> PAGEREF _Toc18186 \h </w:instrText>
          </w:r>
          <w:r>
            <w:fldChar w:fldCharType="separate"/>
          </w:r>
          <w:r>
            <w:t>28</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_Toc24671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eastAsia" w:ascii="楷体_GB2312" w:hAnsi="楷体_GB2312" w:eastAsia="楷体_GB2312" w:cs="楷体_GB2312"/>
              <w:i w:val="0"/>
              <w:iCs w:val="0"/>
              <w:caps w:val="0"/>
              <w:spacing w:val="0"/>
              <w:szCs w:val="23"/>
              <w:highlight w:val="none"/>
              <w:shd w:val="clear" w:fill="FFFFFF"/>
              <w:lang w:val="en-US" w:eastAsia="zh-CN"/>
            </w:rPr>
            <w:t>完善能源市场机制建设</w:t>
          </w:r>
          <w:r>
            <w:tab/>
          </w:r>
          <w:r>
            <w:fldChar w:fldCharType="begin"/>
          </w:r>
          <w:r>
            <w:instrText xml:space="preserve"> PAGEREF _Toc24671 \h </w:instrText>
          </w:r>
          <w:r>
            <w:fldChar w:fldCharType="separate"/>
          </w:r>
          <w:r>
            <w:t>28</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_Toc25080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eastAsia" w:ascii="楷体_GB2312" w:hAnsi="楷体_GB2312" w:eastAsia="楷体_GB2312" w:cs="楷体_GB2312"/>
              <w:i w:val="0"/>
              <w:iCs w:val="0"/>
              <w:caps w:val="0"/>
              <w:spacing w:val="0"/>
              <w:szCs w:val="23"/>
              <w:highlight w:val="none"/>
              <w:shd w:val="clear" w:fill="FFFFFF"/>
              <w:lang w:val="en-US" w:eastAsia="zh-CN"/>
            </w:rPr>
            <w:t>提升能源普惠服务水平</w:t>
          </w:r>
          <w:r>
            <w:tab/>
          </w:r>
          <w:r>
            <w:fldChar w:fldCharType="begin"/>
          </w:r>
          <w:r>
            <w:instrText xml:space="preserve"> PAGEREF _Toc25080 \h </w:instrText>
          </w:r>
          <w:r>
            <w:fldChar w:fldCharType="separate"/>
          </w:r>
          <w:r>
            <w:t>29</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_Toc19604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（三） </w:t>
          </w:r>
          <w:r>
            <w:rPr>
              <w:rFonts w:hint="eastAsia" w:ascii="楷体_GB2312" w:hAnsi="楷体_GB2312" w:eastAsia="楷体_GB2312" w:cs="楷体_GB2312"/>
              <w:i w:val="0"/>
              <w:iCs w:val="0"/>
              <w:caps w:val="0"/>
              <w:spacing w:val="0"/>
              <w:szCs w:val="23"/>
              <w:highlight w:val="none"/>
              <w:shd w:val="clear" w:fill="FFFFFF"/>
              <w:lang w:val="en-US" w:eastAsia="zh-CN"/>
            </w:rPr>
            <w:t>提升能源监督管理水平</w:t>
          </w:r>
          <w:r>
            <w:tab/>
          </w:r>
          <w:r>
            <w:fldChar w:fldCharType="begin"/>
          </w:r>
          <w:r>
            <w:instrText xml:space="preserve"> PAGEREF _Toc19604 \h </w:instrText>
          </w:r>
          <w:r>
            <w:fldChar w:fldCharType="separate"/>
          </w:r>
          <w:r>
            <w:t>30</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_Toc30203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九、 </w:t>
          </w:r>
          <w:r>
            <w:rPr>
              <w:rFonts w:hint="eastAsia" w:ascii="黑体" w:hAnsi="黑体" w:eastAsia="黑体" w:cs="黑体"/>
              <w:i w:val="0"/>
              <w:iCs w:val="0"/>
              <w:caps w:val="0"/>
              <w:spacing w:val="0"/>
              <w:szCs w:val="23"/>
              <w:highlight w:val="none"/>
              <w:shd w:val="clear" w:fill="FFFFFF"/>
              <w:lang w:val="en-US" w:eastAsia="zh-CN"/>
            </w:rPr>
            <w:t>保障措施</w:t>
          </w:r>
          <w:r>
            <w:tab/>
          </w:r>
          <w:r>
            <w:fldChar w:fldCharType="begin"/>
          </w:r>
          <w:r>
            <w:instrText xml:space="preserve"> PAGEREF _Toc30203 \h </w:instrText>
          </w:r>
          <w:r>
            <w:fldChar w:fldCharType="separate"/>
          </w:r>
          <w:r>
            <w:t>31</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_Toc22469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eastAsia" w:ascii="楷体_GB2312" w:hAnsi="楷体_GB2312" w:eastAsia="楷体_GB2312" w:cs="楷体_GB2312"/>
              <w:i w:val="0"/>
              <w:iCs w:val="0"/>
              <w:caps w:val="0"/>
              <w:spacing w:val="0"/>
              <w:szCs w:val="23"/>
              <w:highlight w:val="none"/>
              <w:shd w:val="clear" w:fill="FFFFFF"/>
              <w:lang w:val="en-US" w:eastAsia="zh-CN"/>
            </w:rPr>
            <w:t>加强组织实施</w:t>
          </w:r>
          <w:r>
            <w:tab/>
          </w:r>
          <w:r>
            <w:fldChar w:fldCharType="begin"/>
          </w:r>
          <w:r>
            <w:instrText xml:space="preserve"> PAGEREF _Toc22469 \h </w:instrText>
          </w:r>
          <w:r>
            <w:fldChar w:fldCharType="separate"/>
          </w:r>
          <w:r>
            <w:t>31</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_Toc2902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eastAsia" w:ascii="楷体_GB2312" w:hAnsi="楷体_GB2312" w:eastAsia="楷体_GB2312" w:cs="楷体_GB2312"/>
              <w:i w:val="0"/>
              <w:iCs w:val="0"/>
              <w:caps w:val="0"/>
              <w:spacing w:val="0"/>
              <w:szCs w:val="23"/>
              <w:highlight w:val="none"/>
              <w:shd w:val="clear" w:fill="FFFFFF"/>
              <w:lang w:val="en-US" w:eastAsia="zh-CN"/>
            </w:rPr>
            <w:t>强化规划引领</w:t>
          </w:r>
          <w:r>
            <w:tab/>
          </w:r>
          <w:r>
            <w:fldChar w:fldCharType="begin"/>
          </w:r>
          <w:r>
            <w:instrText xml:space="preserve"> PAGEREF _Toc2902 \h </w:instrText>
          </w:r>
          <w:r>
            <w:fldChar w:fldCharType="separate"/>
          </w:r>
          <w:r>
            <w:t>32</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_Toc19716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（三） </w:t>
          </w:r>
          <w:r>
            <w:rPr>
              <w:rFonts w:hint="eastAsia" w:ascii="楷体_GB2312" w:hAnsi="楷体_GB2312" w:eastAsia="楷体_GB2312" w:cs="楷体_GB2312"/>
              <w:i w:val="0"/>
              <w:iCs w:val="0"/>
              <w:caps w:val="0"/>
              <w:spacing w:val="0"/>
              <w:szCs w:val="23"/>
              <w:highlight w:val="none"/>
              <w:shd w:val="clear" w:fill="FFFFFF"/>
              <w:lang w:val="en-US" w:eastAsia="zh-CN"/>
            </w:rPr>
            <w:t>完善政策体系</w:t>
          </w:r>
          <w:r>
            <w:tab/>
          </w:r>
          <w:r>
            <w:fldChar w:fldCharType="begin"/>
          </w:r>
          <w:r>
            <w:instrText xml:space="preserve"> PAGEREF _Toc19716 \h </w:instrText>
          </w:r>
          <w:r>
            <w:fldChar w:fldCharType="separate"/>
          </w:r>
          <w:r>
            <w:t>32</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_Toc32073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（四） </w:t>
          </w:r>
          <w:r>
            <w:rPr>
              <w:rFonts w:hint="eastAsia" w:ascii="楷体_GB2312" w:hAnsi="楷体_GB2312" w:eastAsia="楷体_GB2312" w:cs="楷体_GB2312"/>
              <w:i w:val="0"/>
              <w:iCs w:val="0"/>
              <w:caps w:val="0"/>
              <w:spacing w:val="0"/>
              <w:szCs w:val="23"/>
              <w:highlight w:val="none"/>
              <w:shd w:val="clear" w:fill="FFFFFF"/>
              <w:lang w:val="en-US" w:eastAsia="zh-CN"/>
            </w:rPr>
            <w:t>强化项目推进</w:t>
          </w:r>
          <w:r>
            <w:tab/>
          </w:r>
          <w:r>
            <w:fldChar w:fldCharType="begin"/>
          </w:r>
          <w:r>
            <w:instrText xml:space="preserve"> PAGEREF _Toc32073 \h </w:instrText>
          </w:r>
          <w:r>
            <w:fldChar w:fldCharType="separate"/>
          </w:r>
          <w:r>
            <w:t>32</w:t>
          </w:r>
          <w:r>
            <w:fldChar w:fldCharType="end"/>
          </w:r>
          <w:r>
            <w:rPr>
              <w:rFonts w:hint="eastAsia" w:asciiTheme="minorEastAsia" w:hAnsiTheme="minorEastAsia" w:eastAsiaTheme="minorEastAsia" w:cstheme="minorEastAsia"/>
              <w:color w:val="auto"/>
              <w:szCs w:val="28"/>
              <w:highlight w:val="none"/>
            </w:rPr>
            <w:fldChar w:fldCharType="end"/>
          </w:r>
        </w:p>
        <w:p>
          <w:pPr>
            <w:pStyle w:val="12"/>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_Toc11576 </w:instrText>
          </w:r>
          <w:r>
            <w:rPr>
              <w:rFonts w:hint="eastAsia" w:asciiTheme="minorEastAsia" w:hAnsiTheme="minorEastAsia" w:eastAsiaTheme="minorEastAsia" w:cstheme="minorEastAsia"/>
              <w:szCs w:val="28"/>
              <w:highlight w:val="none"/>
            </w:rPr>
            <w:fldChar w:fldCharType="separate"/>
          </w:r>
          <w:r>
            <w:rPr>
              <w:rFonts w:hint="eastAsia" w:ascii="黑体" w:hAnsi="黑体" w:eastAsia="黑体" w:cs="黑体"/>
              <w:i w:val="0"/>
              <w:iCs w:val="0"/>
              <w:caps w:val="0"/>
              <w:spacing w:val="0"/>
              <w:szCs w:val="23"/>
              <w:shd w:val="clear" w:fill="FFFFFF"/>
              <w:lang w:val="en-US" w:eastAsia="zh-CN"/>
            </w:rPr>
            <w:t xml:space="preserve">十、 </w:t>
          </w:r>
          <w:r>
            <w:rPr>
              <w:rFonts w:hint="eastAsia" w:ascii="黑体" w:hAnsi="黑体" w:eastAsia="黑体" w:cs="黑体"/>
              <w:i w:val="0"/>
              <w:iCs w:val="0"/>
              <w:caps w:val="0"/>
              <w:spacing w:val="0"/>
              <w:szCs w:val="23"/>
              <w:highlight w:val="none"/>
              <w:shd w:val="clear" w:fill="FFFFFF"/>
              <w:lang w:val="en-US" w:eastAsia="zh-CN"/>
            </w:rPr>
            <w:t>环境影响评价</w:t>
          </w:r>
          <w:r>
            <w:tab/>
          </w:r>
          <w:r>
            <w:fldChar w:fldCharType="begin"/>
          </w:r>
          <w:r>
            <w:instrText xml:space="preserve"> PAGEREF _Toc11576 \h </w:instrText>
          </w:r>
          <w:r>
            <w:fldChar w:fldCharType="separate"/>
          </w:r>
          <w:r>
            <w:t>33</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_Toc14624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（一） </w:t>
          </w:r>
          <w:r>
            <w:rPr>
              <w:rFonts w:hint="default" w:ascii="楷体_GB2312" w:hAnsi="楷体_GB2312" w:eastAsia="楷体_GB2312" w:cs="楷体_GB2312"/>
              <w:i w:val="0"/>
              <w:iCs w:val="0"/>
              <w:caps w:val="0"/>
              <w:spacing w:val="0"/>
              <w:szCs w:val="23"/>
              <w:highlight w:val="none"/>
              <w:shd w:val="clear" w:fill="FFFFFF"/>
              <w:lang w:val="en-US" w:eastAsia="zh-CN"/>
            </w:rPr>
            <w:t>规划协调性与环境目标</w:t>
          </w:r>
          <w:r>
            <w:tab/>
          </w:r>
          <w:r>
            <w:fldChar w:fldCharType="begin"/>
          </w:r>
          <w:r>
            <w:instrText xml:space="preserve"> PAGEREF _Toc14624 \h </w:instrText>
          </w:r>
          <w:r>
            <w:fldChar w:fldCharType="separate"/>
          </w:r>
          <w:r>
            <w:t>33</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_Toc26751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（二） </w:t>
          </w:r>
          <w:r>
            <w:rPr>
              <w:rFonts w:hint="default" w:ascii="楷体_GB2312" w:hAnsi="楷体_GB2312" w:eastAsia="楷体_GB2312" w:cs="楷体_GB2312"/>
              <w:i w:val="0"/>
              <w:iCs w:val="0"/>
              <w:caps w:val="0"/>
              <w:spacing w:val="0"/>
              <w:szCs w:val="23"/>
              <w:highlight w:val="none"/>
              <w:shd w:val="clear" w:fill="FFFFFF"/>
              <w:lang w:val="en-US" w:eastAsia="zh-CN"/>
            </w:rPr>
            <w:t>环境影响与资源环境承载能力分析</w:t>
          </w:r>
          <w:r>
            <w:tab/>
          </w:r>
          <w:r>
            <w:fldChar w:fldCharType="begin"/>
          </w:r>
          <w:r>
            <w:instrText xml:space="preserve"> PAGEREF _Toc26751 \h </w:instrText>
          </w:r>
          <w:r>
            <w:fldChar w:fldCharType="separate"/>
          </w:r>
          <w:r>
            <w:t>33</w:t>
          </w:r>
          <w:r>
            <w:fldChar w:fldCharType="end"/>
          </w:r>
          <w:r>
            <w:rPr>
              <w:rFonts w:hint="eastAsia" w:asciiTheme="minorEastAsia" w:hAnsiTheme="minorEastAsia" w:eastAsiaTheme="minorEastAsia" w:cstheme="minorEastAsia"/>
              <w:color w:val="auto"/>
              <w:szCs w:val="28"/>
              <w:highlight w:val="none"/>
            </w:rPr>
            <w:fldChar w:fldCharType="end"/>
          </w:r>
        </w:p>
        <w:p>
          <w:pPr>
            <w:pStyle w:val="14"/>
            <w:tabs>
              <w:tab w:val="right" w:leader="dot" w:pos="8306"/>
            </w:tabs>
          </w:pPr>
          <w:r>
            <w:rPr>
              <w:rFonts w:hint="eastAsia" w:asciiTheme="minorEastAsia" w:hAnsiTheme="minorEastAsia" w:eastAsiaTheme="minorEastAsia" w:cstheme="minorEastAsia"/>
              <w:color w:val="auto"/>
              <w:szCs w:val="28"/>
              <w:highlight w:val="none"/>
            </w:rPr>
            <w:fldChar w:fldCharType="begin"/>
          </w:r>
          <w:r>
            <w:rPr>
              <w:rFonts w:hint="eastAsia" w:asciiTheme="minorEastAsia" w:hAnsiTheme="minorEastAsia" w:eastAsiaTheme="minorEastAsia" w:cstheme="minorEastAsia"/>
              <w:szCs w:val="28"/>
              <w:highlight w:val="none"/>
            </w:rPr>
            <w:instrText xml:space="preserve"> HYPERLINK \l _Toc11923 </w:instrText>
          </w:r>
          <w:r>
            <w:rPr>
              <w:rFonts w:hint="eastAsia" w:asciiTheme="minorEastAsia" w:hAnsiTheme="minorEastAsia" w:eastAsiaTheme="minorEastAsia" w:cstheme="minorEastAsia"/>
              <w:szCs w:val="28"/>
              <w:highlight w:val="none"/>
            </w:rPr>
            <w:fldChar w:fldCharType="separate"/>
          </w:r>
          <w:r>
            <w:rPr>
              <w:rFonts w:hint="eastAsia" w:ascii="楷体_GB2312" w:hAnsi="楷体_GB2312" w:eastAsia="楷体_GB2312" w:cs="楷体_GB2312"/>
              <w:i w:val="0"/>
              <w:iCs w:val="0"/>
              <w:caps w:val="0"/>
              <w:spacing w:val="0"/>
              <w:szCs w:val="23"/>
              <w:shd w:val="clear" w:fill="FFFFFF"/>
              <w:lang w:val="en-US" w:eastAsia="zh-CN"/>
            </w:rPr>
            <w:t xml:space="preserve">（三） </w:t>
          </w:r>
          <w:r>
            <w:rPr>
              <w:rFonts w:hint="default" w:ascii="楷体_GB2312" w:hAnsi="楷体_GB2312" w:eastAsia="楷体_GB2312" w:cs="楷体_GB2312"/>
              <w:i w:val="0"/>
              <w:iCs w:val="0"/>
              <w:caps w:val="0"/>
              <w:spacing w:val="0"/>
              <w:szCs w:val="23"/>
              <w:highlight w:val="none"/>
              <w:shd w:val="clear" w:fill="FFFFFF"/>
              <w:lang w:val="en-US" w:eastAsia="zh-CN"/>
            </w:rPr>
            <w:t>环境影响减缓措施与跟踪评价</w:t>
          </w:r>
          <w:r>
            <w:tab/>
          </w:r>
          <w:r>
            <w:fldChar w:fldCharType="begin"/>
          </w:r>
          <w:r>
            <w:instrText xml:space="preserve"> PAGEREF _Toc11923 \h </w:instrText>
          </w:r>
          <w:r>
            <w:fldChar w:fldCharType="separate"/>
          </w:r>
          <w:r>
            <w:t>34</w:t>
          </w:r>
          <w:r>
            <w:fldChar w:fldCharType="end"/>
          </w:r>
          <w:r>
            <w:rPr>
              <w:rFonts w:hint="eastAsia" w:asciiTheme="minorEastAsia" w:hAnsiTheme="minorEastAsia" w:eastAsiaTheme="minorEastAsia" w:cstheme="minorEastAsia"/>
              <w:color w:val="auto"/>
              <w:szCs w:val="28"/>
              <w:highlight w:val="none"/>
            </w:rPr>
            <w:fldChar w:fldCharType="end"/>
          </w:r>
        </w:p>
        <w:p>
          <w:pPr>
            <w:rPr>
              <w:color w:val="auto"/>
              <w:highlight w:val="none"/>
            </w:rPr>
          </w:pPr>
          <w:r>
            <w:rPr>
              <w:rFonts w:hint="eastAsia" w:asciiTheme="minorEastAsia" w:hAnsiTheme="minorEastAsia" w:eastAsiaTheme="minorEastAsia" w:cstheme="minorEastAsia"/>
              <w:color w:val="auto"/>
              <w:szCs w:val="28"/>
              <w:highlight w:val="none"/>
            </w:rPr>
            <w:fldChar w:fldCharType="end"/>
          </w:r>
        </w:p>
      </w:sdtContent>
    </w:sdt>
    <w:p>
      <w:pPr>
        <w:rPr>
          <w:rFonts w:hint="default"/>
          <w:color w:val="auto"/>
          <w:sz w:val="30"/>
          <w:szCs w:val="30"/>
          <w:highlight w:val="none"/>
          <w:lang w:eastAsia="zh-CN"/>
        </w:rPr>
      </w:pPr>
      <w:r>
        <w:rPr>
          <w:rFonts w:hint="default"/>
          <w:color w:val="auto"/>
          <w:sz w:val="30"/>
          <w:szCs w:val="30"/>
          <w:highlight w:val="none"/>
          <w:lang w:eastAsia="zh-CN"/>
        </w:rPr>
        <w:br w:type="page"/>
      </w:r>
    </w:p>
    <w:p>
      <w:pPr>
        <w:pStyle w:val="22"/>
        <w:spacing w:line="560" w:lineRule="exact"/>
        <w:ind w:firstLine="640"/>
        <w:rPr>
          <w:rFonts w:hint="default"/>
          <w:color w:val="auto"/>
          <w:sz w:val="30"/>
          <w:szCs w:val="30"/>
          <w:highlight w:val="none"/>
          <w:lang w:eastAsia="zh-CN"/>
        </w:rPr>
        <w:sectPr>
          <w:footerReference r:id="rId13" w:type="default"/>
          <w:pgSz w:w="11906" w:h="16838"/>
          <w:pgMar w:top="1440" w:right="1800" w:bottom="1440" w:left="1800" w:header="851" w:footer="992" w:gutter="0"/>
          <w:paperSrc/>
          <w:pgNumType w:fmt="upperRoman" w:start="1"/>
          <w:cols w:space="0" w:num="1"/>
          <w:rtlGutter w:val="0"/>
          <w:docGrid w:type="lines" w:linePitch="312" w:charSpace="0"/>
        </w:sectPr>
      </w:pPr>
    </w:p>
    <w:p>
      <w:pPr>
        <w:pStyle w:val="22"/>
        <w:spacing w:line="560" w:lineRule="exact"/>
        <w:ind w:firstLine="640"/>
        <w:rPr>
          <w:rFonts w:hint="eastAsia"/>
          <w:color w:val="auto"/>
          <w:highlight w:val="none"/>
        </w:rPr>
      </w:pPr>
      <w:bookmarkStart w:id="161" w:name="_GoBack"/>
      <w:bookmarkEnd w:id="161"/>
      <w:r>
        <w:rPr>
          <w:rFonts w:hint="eastAsia"/>
          <w:color w:val="auto"/>
          <w:highlight w:val="none"/>
          <w:lang w:eastAsia="zh-CN"/>
        </w:rPr>
        <w:t>“</w:t>
      </w:r>
      <w:r>
        <w:rPr>
          <w:rFonts w:hint="default"/>
          <w:color w:val="auto"/>
          <w:highlight w:val="none"/>
          <w:lang w:val="en-US" w:eastAsia="zh-CN"/>
        </w:rPr>
        <w:t>十五五</w:t>
      </w:r>
      <w:r>
        <w:rPr>
          <w:rFonts w:hint="eastAsia"/>
          <w:color w:val="auto"/>
          <w:highlight w:val="none"/>
          <w:lang w:eastAsia="zh-CN"/>
        </w:rPr>
        <w:t>”</w:t>
      </w:r>
      <w:r>
        <w:rPr>
          <w:rFonts w:hint="default"/>
          <w:color w:val="auto"/>
          <w:highlight w:val="none"/>
          <w:lang w:val="en-US" w:eastAsia="zh-CN"/>
        </w:rPr>
        <w:t>时期</w:t>
      </w:r>
      <w:r>
        <w:rPr>
          <w:rFonts w:hint="eastAsia"/>
          <w:color w:val="auto"/>
          <w:highlight w:val="none"/>
          <w:lang w:val="en-US" w:eastAsia="zh-CN"/>
        </w:rPr>
        <w:t>是基本实现社会主义现代化夯实基础、全面发力的关键时期，新型能源体系建设进入全面提速期。本规划根据</w:t>
      </w:r>
      <w:bookmarkStart w:id="2" w:name="OLE_LINK9"/>
      <w:r>
        <w:rPr>
          <w:rFonts w:hint="eastAsia"/>
          <w:color w:val="auto"/>
          <w:highlight w:val="none"/>
          <w:lang w:val="en-US" w:eastAsia="zh-CN"/>
        </w:rPr>
        <w:t>《鄂州市国民经济和社会发展第十五个五年规划纲要》</w:t>
      </w:r>
      <w:bookmarkEnd w:id="2"/>
      <w:bookmarkStart w:id="3" w:name="OLE_LINK8"/>
      <w:r>
        <w:rPr>
          <w:rFonts w:hint="eastAsia"/>
          <w:color w:val="auto"/>
          <w:highlight w:val="none"/>
          <w:lang w:val="en-US" w:eastAsia="zh-CN"/>
        </w:rPr>
        <w:t>《湖北省“十五五”新型能源体系建设规划》编制，</w:t>
      </w:r>
      <w:bookmarkEnd w:id="3"/>
      <w:r>
        <w:rPr>
          <w:rFonts w:hint="eastAsia"/>
          <w:color w:val="auto"/>
          <w:highlight w:val="none"/>
        </w:rPr>
        <w:t>落实</w:t>
      </w:r>
      <w:r>
        <w:rPr>
          <w:rFonts w:hint="eastAsia"/>
          <w:color w:val="auto"/>
          <w:highlight w:val="none"/>
          <w:lang w:eastAsia="zh-CN"/>
        </w:rPr>
        <w:t>全省</w:t>
      </w:r>
      <w:r>
        <w:rPr>
          <w:rFonts w:hint="eastAsia"/>
          <w:color w:val="auto"/>
          <w:highlight w:val="none"/>
        </w:rPr>
        <w:t>战略支点建设部署，</w:t>
      </w:r>
      <w:r>
        <w:rPr>
          <w:rFonts w:hint="eastAsia"/>
          <w:color w:val="auto"/>
          <w:highlight w:val="none"/>
          <w:lang w:val="en-US" w:eastAsia="zh-CN"/>
        </w:rPr>
        <w:t>加快推进鄂州市</w:t>
      </w:r>
      <w:r>
        <w:rPr>
          <w:rFonts w:hint="eastAsia"/>
          <w:color w:val="auto"/>
          <w:highlight w:val="none"/>
          <w:lang w:eastAsia="zh-CN"/>
        </w:rPr>
        <w:t>“</w:t>
      </w:r>
      <w:r>
        <w:rPr>
          <w:rFonts w:hint="eastAsia"/>
          <w:color w:val="auto"/>
          <w:highlight w:val="none"/>
          <w:lang w:val="en-US" w:eastAsia="zh-CN"/>
        </w:rPr>
        <w:t>两区一枢纽</w:t>
      </w:r>
      <w:r>
        <w:rPr>
          <w:rFonts w:hint="eastAsia"/>
          <w:color w:val="auto"/>
          <w:highlight w:val="none"/>
          <w:lang w:eastAsia="zh-CN"/>
        </w:rPr>
        <w:t>”</w:t>
      </w:r>
      <w:r>
        <w:rPr>
          <w:rFonts w:hint="eastAsia"/>
          <w:color w:val="auto"/>
          <w:highlight w:val="none"/>
          <w:lang w:val="en-US" w:eastAsia="zh-CN"/>
        </w:rPr>
        <w:t>建设，主要阐明鄂州市新型能源体系建设指导方针、主要目标和任务举措，</w:t>
      </w:r>
      <w:r>
        <w:rPr>
          <w:rFonts w:hint="eastAsia"/>
          <w:color w:val="auto"/>
          <w:highlight w:val="none"/>
        </w:rPr>
        <w:t>是未来五年全</w:t>
      </w:r>
      <w:r>
        <w:rPr>
          <w:rFonts w:hint="eastAsia"/>
          <w:color w:val="auto"/>
          <w:highlight w:val="none"/>
          <w:lang w:val="en-US" w:eastAsia="zh-CN"/>
        </w:rPr>
        <w:t>市</w:t>
      </w:r>
      <w:r>
        <w:rPr>
          <w:rFonts w:hint="eastAsia"/>
          <w:color w:val="auto"/>
          <w:highlight w:val="none"/>
        </w:rPr>
        <w:t>能源高质量发展的总体蓝图和行动纲领。</w:t>
      </w:r>
    </w:p>
    <w:bookmarkEnd w:id="0"/>
    <w:bookmarkEnd w:id="1"/>
    <w:p>
      <w:pPr>
        <w:pStyle w:val="22"/>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0" w:firstLineChars="200"/>
        <w:textAlignment w:val="baseline"/>
        <w:outlineLvl w:val="0"/>
        <w:rPr>
          <w:rFonts w:hint="eastAsia" w:ascii="黑体" w:hAnsi="黑体" w:eastAsia="黑体" w:cs="黑体"/>
          <w:color w:val="auto"/>
          <w:highlight w:val="none"/>
          <w:lang w:val="en-US" w:eastAsia="zh-CN"/>
        </w:rPr>
      </w:pPr>
      <w:bookmarkStart w:id="4" w:name="_Toc26755"/>
      <w:bookmarkStart w:id="5" w:name="_Toc24917"/>
      <w:bookmarkStart w:id="6" w:name="_Toc24466"/>
      <w:bookmarkStart w:id="7" w:name="_Toc27644"/>
      <w:bookmarkStart w:id="8" w:name="_Toc5703"/>
      <w:bookmarkStart w:id="9" w:name="_Toc22926"/>
      <w:bookmarkStart w:id="10" w:name="_Toc1330289430"/>
      <w:bookmarkStart w:id="11" w:name="_Toc17720"/>
      <w:bookmarkStart w:id="12" w:name="_Toc12917"/>
      <w:bookmarkStart w:id="13" w:name="_Toc2895"/>
      <w:bookmarkStart w:id="14" w:name="_Toc16418"/>
      <w:bookmarkStart w:id="15" w:name="_Toc28229"/>
      <w:bookmarkStart w:id="16" w:name="_Toc9296"/>
      <w:bookmarkStart w:id="17" w:name="_Toc24215"/>
      <w:bookmarkStart w:id="18" w:name="_Toc31413"/>
      <w:bookmarkStart w:id="19" w:name="_Toc4645"/>
      <w:bookmarkStart w:id="20" w:name="_Toc9787"/>
      <w:bookmarkStart w:id="21" w:name="_Toc25299"/>
      <w:bookmarkStart w:id="22" w:name="_Toc30194"/>
      <w:r>
        <w:rPr>
          <w:rFonts w:hint="eastAsia" w:ascii="黑体" w:hAnsi="黑体" w:eastAsia="黑体" w:cs="黑体"/>
          <w:color w:val="auto"/>
          <w:highlight w:val="none"/>
          <w:lang w:val="en-US" w:eastAsia="zh-CN"/>
        </w:rPr>
        <w:t>发展基础和形势</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3"/>
        <w:numPr>
          <w:ilvl w:val="0"/>
          <w:numId w:val="0"/>
        </w:numPr>
        <w:ind w:firstLine="640" w:firstLineChars="200"/>
        <w:rPr>
          <w:rFonts w:hint="eastAsia" w:eastAsia="楷体_GB2312"/>
          <w:color w:val="auto"/>
          <w:highlight w:val="none"/>
          <w:lang w:eastAsia="zh-CN"/>
        </w:rPr>
      </w:pPr>
      <w:bookmarkStart w:id="23" w:name="_Toc19988"/>
      <w:bookmarkStart w:id="24" w:name="_Toc16677"/>
      <w:bookmarkStart w:id="25" w:name="_Toc8482"/>
      <w:bookmarkStart w:id="26" w:name="_Toc7292"/>
      <w:bookmarkStart w:id="27" w:name="_Toc16757"/>
      <w:bookmarkStart w:id="28" w:name="_Toc28128"/>
      <w:bookmarkStart w:id="29" w:name="_Toc26520"/>
      <w:bookmarkStart w:id="30" w:name="_Toc15776"/>
      <w:bookmarkStart w:id="31" w:name="_Toc27170"/>
      <w:bookmarkStart w:id="32" w:name="_Toc81"/>
      <w:bookmarkStart w:id="33" w:name="_Toc348224028"/>
      <w:bookmarkStart w:id="34" w:name="_Toc30353"/>
      <w:bookmarkStart w:id="35" w:name="_Toc2331"/>
      <w:bookmarkStart w:id="36" w:name="_Toc1525"/>
      <w:bookmarkStart w:id="37" w:name="_Toc21005"/>
      <w:bookmarkStart w:id="38" w:name="_Toc17596"/>
      <w:bookmarkStart w:id="39" w:name="_Toc20630"/>
      <w:bookmarkStart w:id="40" w:name="_Toc17185"/>
      <w:bookmarkStart w:id="41" w:name="_Toc19483"/>
      <w:r>
        <w:rPr>
          <w:rFonts w:hint="eastAsia"/>
          <w:color w:val="auto"/>
          <w:highlight w:val="none"/>
        </w:rPr>
        <w:t>（一）</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hint="eastAsia"/>
          <w:color w:val="auto"/>
          <w:highlight w:val="none"/>
          <w:lang w:val="en-US" w:eastAsia="zh-CN"/>
        </w:rPr>
        <w:t>发展基础</w:t>
      </w:r>
      <w:bookmarkEnd w:id="40"/>
      <w:bookmarkEnd w:id="41"/>
    </w:p>
    <w:p>
      <w:pPr>
        <w:pStyle w:val="22"/>
        <w:spacing w:line="560" w:lineRule="exact"/>
        <w:ind w:firstLine="640"/>
        <w:rPr>
          <w:rFonts w:hint="eastAsia" w:cs="Arial"/>
          <w:i w:val="0"/>
          <w:iCs w:val="0"/>
          <w:caps w:val="0"/>
          <w:color w:val="auto"/>
          <w:spacing w:val="0"/>
          <w:sz w:val="32"/>
          <w:szCs w:val="23"/>
          <w:highlight w:val="none"/>
          <w:shd w:val="clear" w:fill="FFFFFF"/>
          <w:lang w:val="en-US" w:eastAsia="zh-CN"/>
        </w:rPr>
      </w:pPr>
      <w:r>
        <w:rPr>
          <w:rFonts w:hint="eastAsia"/>
          <w:color w:val="auto"/>
          <w:highlight w:val="none"/>
          <w:lang w:eastAsia="zh-CN"/>
        </w:rPr>
        <w:t>“</w:t>
      </w:r>
      <w:r>
        <w:rPr>
          <w:rFonts w:hint="eastAsia"/>
          <w:color w:val="auto"/>
          <w:highlight w:val="none"/>
          <w:lang w:val="en-US" w:eastAsia="zh-CN"/>
        </w:rPr>
        <w:t>十四五</w:t>
      </w:r>
      <w:r>
        <w:rPr>
          <w:rFonts w:hint="eastAsia"/>
          <w:color w:val="auto"/>
          <w:highlight w:val="none"/>
          <w:lang w:eastAsia="zh-CN"/>
        </w:rPr>
        <w:t>”</w:t>
      </w:r>
      <w:r>
        <w:rPr>
          <w:rFonts w:hint="eastAsia"/>
          <w:color w:val="auto"/>
          <w:highlight w:val="none"/>
          <w:lang w:val="en-US" w:eastAsia="zh-CN"/>
        </w:rPr>
        <w:t>期间</w:t>
      </w:r>
      <w:r>
        <w:rPr>
          <w:rFonts w:hint="eastAsia"/>
          <w:color w:val="auto"/>
          <w:highlight w:val="none"/>
        </w:rPr>
        <w:t>，</w:t>
      </w:r>
      <w:r>
        <w:rPr>
          <w:rFonts w:hint="eastAsia"/>
          <w:color w:val="auto"/>
          <w:highlight w:val="none"/>
          <w:lang w:val="en-US" w:eastAsia="zh-CN"/>
        </w:rPr>
        <w:t>全市</w:t>
      </w:r>
      <w:r>
        <w:rPr>
          <w:rFonts w:hint="eastAsia"/>
          <w:color w:val="auto"/>
          <w:highlight w:val="none"/>
        </w:rPr>
        <w:t>坚定不移贯彻</w:t>
      </w:r>
      <w:r>
        <w:rPr>
          <w:rFonts w:hint="eastAsia"/>
          <w:color w:val="auto"/>
          <w:highlight w:val="none"/>
          <w:lang w:eastAsia="zh-CN"/>
        </w:rPr>
        <w:t>“</w:t>
      </w:r>
      <w:r>
        <w:rPr>
          <w:rFonts w:hint="eastAsia"/>
          <w:color w:val="auto"/>
          <w:highlight w:val="none"/>
        </w:rPr>
        <w:t>四个革命、一个合作</w:t>
      </w:r>
      <w:r>
        <w:rPr>
          <w:rFonts w:hint="eastAsia"/>
          <w:color w:val="auto"/>
          <w:highlight w:val="none"/>
          <w:lang w:eastAsia="zh-CN"/>
        </w:rPr>
        <w:t>”</w:t>
      </w:r>
      <w:r>
        <w:rPr>
          <w:rFonts w:hint="eastAsia"/>
          <w:color w:val="auto"/>
          <w:highlight w:val="none"/>
        </w:rPr>
        <w:t>能源安全新战略，</w:t>
      </w:r>
      <w:r>
        <w:rPr>
          <w:rFonts w:hint="eastAsia" w:cs="Arial"/>
          <w:i w:val="0"/>
          <w:iCs w:val="0"/>
          <w:caps w:val="0"/>
          <w:color w:val="auto"/>
          <w:spacing w:val="0"/>
          <w:sz w:val="32"/>
          <w:szCs w:val="23"/>
          <w:highlight w:val="none"/>
          <w:shd w:val="clear" w:fill="FFFFFF"/>
          <w:lang w:val="en-US" w:eastAsia="zh-CN"/>
        </w:rPr>
        <w:t>锚定“双碳”目标，全力以赴保障能源安全，持之以恒推动能源转型变革，积极推进一系列具有开创性的举措和实践，相继取得一系列突破性进展和标志性成果，推动能源事业发展取得新成就、开创新局面。</w:t>
      </w:r>
    </w:p>
    <w:p>
      <w:pPr>
        <w:pStyle w:val="22"/>
        <w:spacing w:line="560" w:lineRule="exact"/>
        <w:ind w:firstLine="640"/>
        <w:rPr>
          <w:rFonts w:hint="eastAsia" w:cs="Arial"/>
          <w:i w:val="0"/>
          <w:iCs w:val="0"/>
          <w:caps w:val="0"/>
          <w:color w:val="auto"/>
          <w:spacing w:val="0"/>
          <w:sz w:val="32"/>
          <w:szCs w:val="23"/>
          <w:highlight w:val="none"/>
          <w:shd w:val="clear" w:fill="FFFFFF"/>
          <w:lang w:val="en-US" w:eastAsia="zh-CN"/>
        </w:rPr>
      </w:pPr>
      <w:r>
        <w:rPr>
          <w:rFonts w:hint="eastAsia" w:ascii="Times New Roman Regular" w:hAnsi="Times New Roman Regular" w:cs="Times New Roman Regular"/>
          <w:b/>
          <w:bCs/>
          <w:color w:val="auto"/>
          <w:highlight w:val="none"/>
          <w:lang w:val="en-US" w:eastAsia="zh-CN"/>
        </w:rPr>
        <w:t>综合能源供给保障持续加强。</w:t>
      </w:r>
      <w:r>
        <w:rPr>
          <w:rFonts w:hint="eastAsia" w:cs="Arial"/>
          <w:i w:val="0"/>
          <w:iCs w:val="0"/>
          <w:caps w:val="0"/>
          <w:color w:val="auto"/>
          <w:spacing w:val="0"/>
          <w:sz w:val="32"/>
          <w:szCs w:val="23"/>
          <w:highlight w:val="none"/>
          <w:shd w:val="clear" w:fill="FFFFFF"/>
          <w:lang w:val="en-US" w:eastAsia="zh-CN"/>
        </w:rPr>
        <w:t>鄂州电厂加大煤炭资源获取力度，确保机组煤源充足，厂内库存近70万吨，电厂四期（2</w:t>
      </w:r>
      <w:r>
        <w:rPr>
          <w:rFonts w:hint="default" w:ascii="Arial" w:hAnsi="Arial" w:cs="Arial"/>
          <w:i w:val="0"/>
          <w:iCs w:val="0"/>
          <w:caps w:val="0"/>
          <w:color w:val="auto"/>
          <w:spacing w:val="0"/>
          <w:sz w:val="32"/>
          <w:szCs w:val="23"/>
          <w:highlight w:val="none"/>
          <w:shd w:val="clear" w:fill="FFFFFF"/>
          <w:lang w:val="en-US" w:eastAsia="zh-CN"/>
        </w:rPr>
        <w:t>×</w:t>
      </w:r>
      <w:r>
        <w:rPr>
          <w:rFonts w:hint="eastAsia" w:cs="Arial"/>
          <w:i w:val="0"/>
          <w:iCs w:val="0"/>
          <w:caps w:val="0"/>
          <w:color w:val="auto"/>
          <w:spacing w:val="0"/>
          <w:sz w:val="32"/>
          <w:szCs w:val="23"/>
          <w:highlight w:val="none"/>
          <w:shd w:val="clear" w:fill="FFFFFF"/>
          <w:lang w:val="en-US" w:eastAsia="zh-CN"/>
        </w:rPr>
        <w:t>100万千瓦）建设进度过半，全厂装机总量将达到596万千瓦，年发电能力超过300亿千瓦时，成为我省装机规模第1枢纽电源，2025年迎峰保供关键节点，鄂州电厂实现6台机组全开满发，单月发电量超16亿千瓦时，有效填补区域电力缺口、保障电网稳定运行。鄂州花湖国际机场实现保税航油“即加即走”，2025年实现保税航油供给突破30万吨，为国际航线降低税负和运行成本超亿元，通关时效提升75%。持续夯实电力枢纽能力，先后投运220千伏邱贾等变电站，新增变电容量81万千伏安，高标准打造“零计划停电”示范区，建成全省首个全域100%联络的地市级配电网络，供电可靠率达到99.99%，位居全省第1。天然气供应实现气源优化调配，年供气量超1亿立方米。煤、油、气、电多元供应体系持续巩固完善，能源安全保障的韧性和抗风险能力显著提升。</w:t>
      </w:r>
    </w:p>
    <w:p>
      <w:pPr>
        <w:keepNext w:val="0"/>
        <w:keepLines w:val="0"/>
        <w:widowControl/>
        <w:suppressLineNumbers w:val="0"/>
        <w:jc w:val="left"/>
        <w:rPr>
          <w:color w:val="auto"/>
          <w:highlight w:val="none"/>
        </w:rPr>
      </w:pPr>
      <w:r>
        <w:rPr>
          <w:rFonts w:hint="eastAsia" w:cs="Arial"/>
          <w:b/>
          <w:bCs w:val="0"/>
          <w:i w:val="0"/>
          <w:iCs w:val="0"/>
          <w:caps w:val="0"/>
          <w:color w:val="auto"/>
          <w:spacing w:val="0"/>
          <w:sz w:val="32"/>
          <w:szCs w:val="23"/>
          <w:highlight w:val="none"/>
          <w:shd w:val="clear" w:fill="FFFFFF"/>
          <w:lang w:val="en-US" w:eastAsia="zh-CN"/>
        </w:rPr>
        <w:t>新能源发展实现关键突破。</w:t>
      </w:r>
      <w:r>
        <w:rPr>
          <w:rFonts w:hint="eastAsia" w:cs="Arial"/>
          <w:i w:val="0"/>
          <w:iCs w:val="0"/>
          <w:caps w:val="0"/>
          <w:color w:val="auto"/>
          <w:spacing w:val="0"/>
          <w:sz w:val="32"/>
          <w:szCs w:val="23"/>
          <w:highlight w:val="none"/>
          <w:shd w:val="clear" w:fill="FFFFFF"/>
          <w:lang w:val="en-US" w:eastAsia="zh-CN"/>
        </w:rPr>
        <w:t>集中式光伏项目持续扩容，华怡、赛维、</w:t>
      </w:r>
      <w:r>
        <w:rPr>
          <w:rFonts w:hint="eastAsia" w:ascii="仿宋_GB2312" w:hAnsi="仿宋_GB2312" w:eastAsia="仿宋_GB2312" w:cs="仿宋_GB2312"/>
          <w:color w:val="auto"/>
          <w:sz w:val="32"/>
          <w:szCs w:val="32"/>
          <w:highlight w:val="none"/>
          <w:lang w:val="en-US" w:eastAsia="zh-CN"/>
        </w:rPr>
        <w:t>邦晟</w:t>
      </w:r>
      <w:r>
        <w:rPr>
          <w:rFonts w:hint="eastAsia" w:cs="Arial"/>
          <w:i w:val="0"/>
          <w:iCs w:val="0"/>
          <w:caps w:val="0"/>
          <w:color w:val="auto"/>
          <w:spacing w:val="0"/>
          <w:sz w:val="32"/>
          <w:szCs w:val="23"/>
          <w:highlight w:val="none"/>
          <w:shd w:val="clear" w:fill="FFFFFF"/>
          <w:lang w:val="en-US" w:eastAsia="zh-CN"/>
        </w:rPr>
        <w:t>等集中式光伏发电项目稳定运行，总装机约11.5万千瓦；分布式光伏场景不断拓展，形成“机场屋顶+园区厂房”多元发展模式，花湖机场、空港综保区等分布式光伏项目总装机约30.8万千瓦。储能技术应用同步突破，峒山社区建成鄂州首个“光储直柔一体化”微电网，梯次储能与充电桩、电网联动缓解农村电网压力，峒山供电所构网型储能装置实现故障50毫秒内恢复供电，创新工业园区独立全供电示范方案。</w:t>
      </w:r>
    </w:p>
    <w:p>
      <w:pPr>
        <w:spacing w:line="560" w:lineRule="exact"/>
        <w:ind w:firstLine="640"/>
        <w:jc w:val="left"/>
        <w:rPr>
          <w:rFonts w:hint="eastAsia" w:cs="Arial"/>
          <w:i w:val="0"/>
          <w:iCs w:val="0"/>
          <w:caps w:val="0"/>
          <w:color w:val="auto"/>
          <w:spacing w:val="0"/>
          <w:sz w:val="32"/>
          <w:szCs w:val="23"/>
          <w:highlight w:val="none"/>
          <w:shd w:val="clear" w:fill="FFFFFF"/>
          <w:lang w:val="en-US" w:eastAsia="zh-CN"/>
        </w:rPr>
      </w:pPr>
      <w:r>
        <w:rPr>
          <w:rFonts w:hint="eastAsia" w:cs="Arial"/>
          <w:b/>
          <w:bCs w:val="0"/>
          <w:i w:val="0"/>
          <w:iCs w:val="0"/>
          <w:caps w:val="0"/>
          <w:color w:val="auto"/>
          <w:spacing w:val="0"/>
          <w:sz w:val="32"/>
          <w:szCs w:val="23"/>
          <w:highlight w:val="none"/>
          <w:shd w:val="clear" w:fill="FFFFFF"/>
          <w:lang w:val="en-US" w:eastAsia="zh-CN"/>
        </w:rPr>
        <w:t>能源消费绿色转型成效显著。</w:t>
      </w:r>
      <w:r>
        <w:rPr>
          <w:rFonts w:hint="eastAsia" w:cs="Arial"/>
          <w:b w:val="0"/>
          <w:bCs/>
          <w:i w:val="0"/>
          <w:iCs w:val="0"/>
          <w:caps w:val="0"/>
          <w:color w:val="auto"/>
          <w:spacing w:val="0"/>
          <w:sz w:val="32"/>
          <w:szCs w:val="23"/>
          <w:highlight w:val="none"/>
          <w:shd w:val="clear" w:fill="FFFFFF"/>
          <w:lang w:val="en-US" w:eastAsia="zh-CN"/>
        </w:rPr>
        <w:t>节能降碳纵深推进，</w:t>
      </w:r>
      <w:r>
        <w:rPr>
          <w:rFonts w:hint="eastAsia" w:cs="Arial"/>
          <w:i w:val="0"/>
          <w:iCs w:val="0"/>
          <w:caps w:val="0"/>
          <w:color w:val="auto"/>
          <w:spacing w:val="0"/>
          <w:sz w:val="32"/>
          <w:szCs w:val="23"/>
          <w:highlight w:val="none"/>
          <w:shd w:val="clear" w:fill="FFFFFF"/>
          <w:lang w:val="en-US" w:eastAsia="zh-CN"/>
        </w:rPr>
        <w:t>鄂州电厂</w:t>
      </w:r>
      <w:r>
        <w:rPr>
          <w:rFonts w:hint="eastAsia" w:cs="Arial"/>
          <w:b w:val="0"/>
          <w:bCs w:val="0"/>
          <w:i w:val="0"/>
          <w:iCs w:val="0"/>
          <w:caps w:val="0"/>
          <w:color w:val="auto"/>
          <w:spacing w:val="0"/>
          <w:sz w:val="32"/>
          <w:szCs w:val="23"/>
          <w:highlight w:val="none"/>
          <w:shd w:val="clear" w:fill="FFFFFF"/>
          <w:lang w:val="en-US" w:eastAsia="zh-CN"/>
        </w:rPr>
        <w:t>完成</w:t>
      </w:r>
      <w:r>
        <w:rPr>
          <w:rFonts w:hint="eastAsia" w:cs="Arial"/>
          <w:i w:val="0"/>
          <w:iCs w:val="0"/>
          <w:caps w:val="0"/>
          <w:color w:val="auto"/>
          <w:spacing w:val="0"/>
          <w:sz w:val="32"/>
          <w:szCs w:val="23"/>
          <w:highlight w:val="none"/>
          <w:shd w:val="clear" w:fill="FFFFFF"/>
          <w:lang w:val="en-US" w:eastAsia="zh-CN"/>
        </w:rPr>
        <w:t>低氮燃烧、通流改造等节能技术改造，能效水平显著提升。鄂钢集团荣获“双碳最佳实践能效标杆示范企业”称号，累计实施节能环保改造项目100余项，2025年吨钢综合能耗较上年下降6千克标准煤，高效利用富余煤气资源，最大限度提升煤气利用效率，有效实现煤气“全量回收、放散为零”。</w:t>
      </w:r>
      <w:r>
        <w:rPr>
          <w:rFonts w:hint="eastAsia" w:cs="Arial"/>
          <w:b w:val="0"/>
          <w:bCs w:val="0"/>
          <w:i w:val="0"/>
          <w:iCs w:val="0"/>
          <w:caps w:val="0"/>
          <w:color w:val="auto"/>
          <w:spacing w:val="0"/>
          <w:sz w:val="32"/>
          <w:szCs w:val="23"/>
          <w:highlight w:val="none"/>
          <w:shd w:val="clear" w:fill="FFFFFF"/>
          <w:lang w:val="en-US" w:eastAsia="zh-CN"/>
        </w:rPr>
        <w:t>交通领域绿色转型亮点突出，</w:t>
      </w:r>
      <w:r>
        <w:rPr>
          <w:rFonts w:hint="eastAsia" w:cs="Arial"/>
          <w:i w:val="0"/>
          <w:iCs w:val="0"/>
          <w:caps w:val="0"/>
          <w:color w:val="auto"/>
          <w:spacing w:val="0"/>
          <w:sz w:val="32"/>
          <w:szCs w:val="23"/>
          <w:highlight w:val="none"/>
          <w:shd w:val="clear" w:fill="FFFFFF"/>
          <w:lang w:val="en-US" w:eastAsia="zh-CN"/>
        </w:rPr>
        <w:t>鄂州花湖机场持续深化“以电代油”工程，</w:t>
      </w:r>
      <w:r>
        <w:rPr>
          <w:rFonts w:hint="eastAsia" w:ascii="Times New Roman Regular" w:hAnsi="Times New Roman Regular" w:eastAsia="仿宋" w:cs="Times New Roman Regular"/>
          <w:color w:val="auto"/>
          <w:sz w:val="32"/>
          <w:szCs w:val="32"/>
          <w:highlight w:val="none"/>
          <w:lang w:val="en-US" w:eastAsia="zh-CN"/>
        </w:rPr>
        <w:t>通过</w:t>
      </w:r>
      <w:r>
        <w:rPr>
          <w:rFonts w:hint="eastAsia" w:cs="Arial"/>
          <w:i w:val="0"/>
          <w:iCs w:val="0"/>
          <w:caps w:val="0"/>
          <w:color w:val="auto"/>
          <w:spacing w:val="0"/>
          <w:sz w:val="32"/>
          <w:szCs w:val="23"/>
          <w:highlight w:val="none"/>
          <w:shd w:val="clear" w:fill="FFFFFF"/>
          <w:lang w:val="en-US" w:eastAsia="zh-CN"/>
        </w:rPr>
        <w:t>地井电源、智能化能源管理系统实时调整负荷出力，显著降低燃油消耗和排放，配套建设湖北规模最大的充电桩群，可同时为278台电动车充电，年充电量达123万千瓦时，减排二氧化碳709吨。全面推进充电桩“乡镇全覆盖”工程，2025年顺利完成全部行政村充电桩建设接入工作，超额完成省级任务，全市公共充电桩超0.4万个，构建起城乡全覆盖的绿色充电服务体系。</w:t>
      </w:r>
    </w:p>
    <w:p>
      <w:pPr>
        <w:pStyle w:val="22"/>
        <w:ind w:firstLine="640"/>
        <w:rPr>
          <w:rFonts w:hint="eastAsia" w:ascii="Times New Roman" w:hAnsi="Times New Roman" w:cs="Arial"/>
          <w:i w:val="0"/>
          <w:iCs w:val="0"/>
          <w:caps w:val="0"/>
          <w:color w:val="auto"/>
          <w:spacing w:val="0"/>
          <w:sz w:val="32"/>
          <w:szCs w:val="23"/>
          <w:highlight w:val="none"/>
          <w:shd w:val="clear" w:fill="FFFFFF"/>
          <w:lang w:val="en-US" w:eastAsia="zh-CN"/>
        </w:rPr>
      </w:pPr>
      <w:r>
        <w:rPr>
          <w:rFonts w:hint="default" w:ascii="Times New Roman Regular" w:hAnsi="Times New Roman Regular" w:cs="Times New Roman Regular"/>
          <w:b/>
          <w:bCs/>
          <w:color w:val="auto"/>
          <w:highlight w:val="none"/>
          <w:lang w:val="en-US" w:eastAsia="zh-CN"/>
        </w:rPr>
        <w:t>能源</w:t>
      </w:r>
      <w:r>
        <w:rPr>
          <w:rFonts w:hint="eastAsia" w:ascii="Times New Roman Regular" w:hAnsi="Times New Roman Regular" w:cs="Times New Roman Regular"/>
          <w:b/>
          <w:bCs/>
          <w:color w:val="auto"/>
          <w:highlight w:val="none"/>
          <w:lang w:val="en-US" w:eastAsia="zh-CN"/>
        </w:rPr>
        <w:t>治理水平不断提升。</w:t>
      </w:r>
      <w:r>
        <w:rPr>
          <w:rFonts w:hint="eastAsia" w:ascii="Times New Roman" w:hAnsi="Times New Roman" w:cs="Arial"/>
          <w:i w:val="0"/>
          <w:iCs w:val="0"/>
          <w:caps w:val="0"/>
          <w:color w:val="auto"/>
          <w:spacing w:val="0"/>
          <w:sz w:val="32"/>
          <w:szCs w:val="23"/>
          <w:highlight w:val="none"/>
          <w:shd w:val="clear" w:fill="FFFFFF"/>
          <w:lang w:val="en-US" w:eastAsia="zh-CN"/>
        </w:rPr>
        <w:t>安全生产防线进一步筑牢，</w:t>
      </w:r>
      <w:r>
        <w:rPr>
          <w:rFonts w:hint="eastAsia" w:cs="Arial"/>
          <w:i w:val="0"/>
          <w:iCs w:val="0"/>
          <w:caps w:val="0"/>
          <w:color w:val="auto"/>
          <w:spacing w:val="0"/>
          <w:sz w:val="32"/>
          <w:szCs w:val="23"/>
          <w:highlight w:val="none"/>
          <w:shd w:val="clear" w:fill="FFFFFF"/>
          <w:lang w:val="en-US" w:eastAsia="zh-CN"/>
        </w:rPr>
        <w:t>燃气管线</w:t>
      </w:r>
      <w:r>
        <w:rPr>
          <w:rFonts w:hint="eastAsia" w:ascii="Times New Roman" w:hAnsi="Times New Roman" w:cs="Arial"/>
          <w:i w:val="0"/>
          <w:iCs w:val="0"/>
          <w:caps w:val="0"/>
          <w:color w:val="auto"/>
          <w:spacing w:val="0"/>
          <w:sz w:val="32"/>
          <w:szCs w:val="23"/>
          <w:highlight w:val="none"/>
          <w:shd w:val="clear" w:fill="FFFFFF"/>
          <w:lang w:val="en-US" w:eastAsia="zh-CN"/>
        </w:rPr>
        <w:t>全部实现闭环整改。强化重大能源基础设施布局统筹，在花湖机场、空港综合保税区等重点区域，建立能源基础设施与产业项目</w:t>
      </w:r>
      <w:r>
        <w:rPr>
          <w:rFonts w:hint="eastAsia" w:cs="Arial"/>
          <w:i w:val="0"/>
          <w:iCs w:val="0"/>
          <w:caps w:val="0"/>
          <w:color w:val="auto"/>
          <w:spacing w:val="0"/>
          <w:sz w:val="32"/>
          <w:szCs w:val="23"/>
          <w:highlight w:val="none"/>
          <w:shd w:val="clear" w:fill="FFFFFF"/>
          <w:lang w:val="en-US" w:eastAsia="zh-CN"/>
        </w:rPr>
        <w:t>“三同步”（</w:t>
      </w:r>
      <w:r>
        <w:rPr>
          <w:rFonts w:hint="eastAsia" w:ascii="Times New Roman" w:hAnsi="Times New Roman" w:cs="Arial"/>
          <w:i w:val="0"/>
          <w:iCs w:val="0"/>
          <w:caps w:val="0"/>
          <w:color w:val="auto"/>
          <w:spacing w:val="0"/>
          <w:sz w:val="32"/>
          <w:szCs w:val="23"/>
          <w:highlight w:val="none"/>
          <w:shd w:val="clear" w:fill="FFFFFF"/>
          <w:lang w:val="en-US" w:eastAsia="zh-CN"/>
        </w:rPr>
        <w:t>规划、建设、投运</w:t>
      </w:r>
      <w:r>
        <w:rPr>
          <w:rFonts w:hint="eastAsia" w:cs="Arial"/>
          <w:i w:val="0"/>
          <w:iCs w:val="0"/>
          <w:caps w:val="0"/>
          <w:color w:val="auto"/>
          <w:spacing w:val="0"/>
          <w:sz w:val="32"/>
          <w:szCs w:val="23"/>
          <w:highlight w:val="none"/>
          <w:shd w:val="clear" w:fill="FFFFFF"/>
          <w:lang w:val="en-US" w:eastAsia="zh-CN"/>
        </w:rPr>
        <w:t>）</w:t>
      </w:r>
      <w:r>
        <w:rPr>
          <w:rFonts w:hint="eastAsia" w:ascii="Times New Roman" w:hAnsi="Times New Roman" w:cs="Arial"/>
          <w:i w:val="0"/>
          <w:iCs w:val="0"/>
          <w:caps w:val="0"/>
          <w:color w:val="auto"/>
          <w:spacing w:val="0"/>
          <w:sz w:val="32"/>
          <w:szCs w:val="23"/>
          <w:highlight w:val="none"/>
          <w:shd w:val="clear" w:fill="FFFFFF"/>
          <w:lang w:val="en-US" w:eastAsia="zh-CN"/>
        </w:rPr>
        <w:t>的协同机制，保障能源供给与产业发展精准匹配。持续优化能源领域营商环境，</w:t>
      </w:r>
      <w:r>
        <w:rPr>
          <w:rFonts w:hint="eastAsia" w:cs="Arial"/>
          <w:i w:val="0"/>
          <w:iCs w:val="0"/>
          <w:caps w:val="0"/>
          <w:color w:val="auto"/>
          <w:spacing w:val="0"/>
          <w:sz w:val="32"/>
          <w:szCs w:val="23"/>
          <w:highlight w:val="none"/>
          <w:shd w:val="clear" w:fill="FFFFFF"/>
          <w:lang w:val="en-US" w:eastAsia="zh-CN"/>
        </w:rPr>
        <w:t>纵深推进电力营商环境改革</w:t>
      </w:r>
      <w:r>
        <w:rPr>
          <w:rFonts w:hint="eastAsia" w:ascii="Times New Roman" w:hAnsi="Times New Roman" w:cs="Arial"/>
          <w:i w:val="0"/>
          <w:iCs w:val="0"/>
          <w:caps w:val="0"/>
          <w:color w:val="auto"/>
          <w:spacing w:val="0"/>
          <w:sz w:val="32"/>
          <w:szCs w:val="23"/>
          <w:highlight w:val="none"/>
          <w:shd w:val="clear" w:fill="FFFFFF"/>
          <w:lang w:val="en-US" w:eastAsia="zh-CN"/>
        </w:rPr>
        <w:t>，</w:t>
      </w:r>
      <w:r>
        <w:rPr>
          <w:rFonts w:hint="eastAsia" w:cs="Arial"/>
          <w:i w:val="0"/>
          <w:iCs w:val="0"/>
          <w:caps w:val="0"/>
          <w:color w:val="auto"/>
          <w:spacing w:val="0"/>
          <w:sz w:val="32"/>
          <w:szCs w:val="23"/>
          <w:highlight w:val="none"/>
          <w:shd w:val="clear" w:fill="FFFFFF"/>
          <w:lang w:val="en-US" w:eastAsia="zh-CN"/>
        </w:rPr>
        <w:t>开辟</w:t>
      </w:r>
      <w:r>
        <w:rPr>
          <w:rFonts w:hint="eastAsia" w:ascii="Times New Roman" w:hAnsi="Times New Roman" w:cs="Arial"/>
          <w:i w:val="0"/>
          <w:iCs w:val="0"/>
          <w:caps w:val="0"/>
          <w:color w:val="auto"/>
          <w:spacing w:val="0"/>
          <w:sz w:val="32"/>
          <w:szCs w:val="23"/>
          <w:highlight w:val="none"/>
          <w:shd w:val="clear" w:fill="FFFFFF"/>
          <w:lang w:val="en-US" w:eastAsia="zh-CN"/>
        </w:rPr>
        <w:t>新能源项目服务绿色通道</w:t>
      </w:r>
      <w:r>
        <w:rPr>
          <w:rFonts w:hint="eastAsia" w:cs="Arial"/>
          <w:i w:val="0"/>
          <w:iCs w:val="0"/>
          <w:caps w:val="0"/>
          <w:color w:val="auto"/>
          <w:spacing w:val="0"/>
          <w:sz w:val="32"/>
          <w:szCs w:val="23"/>
          <w:highlight w:val="none"/>
          <w:shd w:val="clear" w:fill="FFFFFF"/>
          <w:lang w:val="en-US" w:eastAsia="zh-CN"/>
        </w:rPr>
        <w:t>，以高品质电力供给惠及民生及赋能产业发展，“获得电力”指数稳居全省前列；</w:t>
      </w:r>
      <w:r>
        <w:rPr>
          <w:rFonts w:hint="eastAsia" w:ascii="Times New Roman" w:hAnsi="Times New Roman" w:cs="Arial"/>
          <w:i w:val="0"/>
          <w:iCs w:val="0"/>
          <w:caps w:val="0"/>
          <w:color w:val="auto"/>
          <w:spacing w:val="0"/>
          <w:sz w:val="32"/>
          <w:szCs w:val="23"/>
          <w:highlight w:val="none"/>
          <w:shd w:val="clear" w:fill="FFFFFF"/>
          <w:lang w:val="en-US" w:eastAsia="zh-CN"/>
        </w:rPr>
        <w:t>海关、能源、发改等部门协同推进保税航油智慧监管新模式，实现监管效能与企业效益双提升，改革红利充分释放，惠及广大企业和消费者。</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3"/>
        <w:gridCol w:w="1470"/>
        <w:gridCol w:w="1590"/>
        <w:gridCol w:w="15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1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560" w:lineRule="exact"/>
              <w:ind w:left="0" w:leftChars="0" w:right="0" w:rightChars="0" w:firstLine="0" w:firstLineChars="0"/>
              <w:jc w:val="center"/>
              <w:textAlignment w:val="center"/>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bookmarkStart w:id="42" w:name="_Toc3985"/>
            <w:r>
              <w:rPr>
                <w:rFonts w:hint="eastAsia" w:ascii="Times New Roman" w:hAnsi="Times New Roman" w:eastAsia="黑体" w:cs="Times New Roman"/>
                <w:color w:val="auto"/>
                <w:sz w:val="32"/>
                <w:szCs w:val="32"/>
                <w:lang w:val="en-US" w:eastAsia="zh-CN"/>
              </w:rPr>
              <w:t>专栏1 鄂州市“十四五”能源发展主要成就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指标</w:t>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单位</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2020年</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2025年</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年均增长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能源综合生产能力</w:t>
            </w:r>
            <w:r>
              <w:rPr>
                <w:rStyle w:val="21"/>
                <w:rFonts w:hint="default" w:ascii="Times New Roman" w:hAnsi="Times New Roman" w:eastAsia="仿宋_GB2312" w:cs="仿宋_GB2312"/>
                <w:b w:val="0"/>
                <w:bCs w:val="0"/>
                <w:i w:val="0"/>
                <w:iCs w:val="0"/>
                <w:caps w:val="0"/>
                <w:color w:val="auto"/>
                <w:spacing w:val="0"/>
                <w:sz w:val="24"/>
                <w:szCs w:val="24"/>
                <w:highlight w:val="none"/>
                <w:shd w:val="clear" w:fill="FFFFFF"/>
                <w:lang w:val="en-US" w:eastAsia="zh-CN"/>
              </w:rPr>
              <w:footnoteReference w:id="0"/>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万吨标煤</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2.14</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4.2</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Times New Roman" w:hAnsi="Times New Roman" w:eastAsia="仿宋_GB2312" w:cs="仿宋_GB2312"/>
                <w:b w:val="0"/>
                <w:bCs w:val="0"/>
                <w:i w:val="0"/>
                <w:iCs w:val="0"/>
                <w:caps w:val="0"/>
                <w:color w:val="auto"/>
                <w:spacing w:val="0"/>
                <w:kern w:val="2"/>
                <w:sz w:val="24"/>
                <w:szCs w:val="24"/>
                <w:highlight w:val="none"/>
                <w:shd w:val="clear" w:fill="FFFFFF"/>
                <w:vertAlign w:val="baseline"/>
                <w:lang w:val="en-US" w:eastAsia="zh-CN" w:bidi="ar-SA"/>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能源消费总量</w:t>
            </w:r>
            <w:r>
              <w:rPr>
                <w:rStyle w:val="21"/>
                <w:rFonts w:hint="eastAsia" w:ascii="Times New Roman" w:hAnsi="Times New Roman" w:eastAsia="仿宋_GB2312" w:cs="仿宋_GB2312"/>
                <w:b w:val="0"/>
                <w:bCs w:val="0"/>
                <w:i w:val="0"/>
                <w:iCs w:val="0"/>
                <w:caps w:val="0"/>
                <w:color w:val="auto"/>
                <w:spacing w:val="0"/>
                <w:sz w:val="24"/>
                <w:szCs w:val="24"/>
                <w:highlight w:val="none"/>
                <w:shd w:val="clear" w:fill="FFFFFF"/>
                <w:lang w:val="en-US" w:eastAsia="zh-CN"/>
              </w:rPr>
              <w:footnoteReference w:id="1"/>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Times New Roman" w:hAnsi="Times New Roman" w:eastAsia="仿宋_GB2312" w:cs="仿宋_GB2312"/>
                <w:b w:val="0"/>
                <w:bCs w:val="0"/>
                <w:i w:val="0"/>
                <w:iCs w:val="0"/>
                <w:caps w:val="0"/>
                <w:color w:val="auto"/>
                <w:spacing w:val="0"/>
                <w:kern w:val="2"/>
                <w:sz w:val="24"/>
                <w:szCs w:val="24"/>
                <w:highlight w:val="none"/>
                <w:shd w:val="clear" w:fill="FFFFFF"/>
                <w:vertAlign w:val="baseline"/>
                <w:lang w:val="en-US" w:eastAsia="zh-CN" w:bidi="ar-SA"/>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万吨标煤</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747.93</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kern w:val="2"/>
                <w:sz w:val="24"/>
                <w:szCs w:val="24"/>
                <w:highlight w:val="none"/>
                <w:shd w:val="clear" w:fill="FFFFFF"/>
                <w:vertAlign w:val="baseline"/>
                <w:lang w:val="en-US" w:eastAsia="zh-CN" w:bidi="ar-SA"/>
              </w:rPr>
            </w:pPr>
            <w:r>
              <w:rPr>
                <w:rFonts w:hint="eastAsia" w:ascii="Times New Roman" w:hAnsi="Times New Roman" w:cs="仿宋_GB2312"/>
                <w:b w:val="0"/>
                <w:bCs w:val="0"/>
                <w:i w:val="0"/>
                <w:iCs w:val="0"/>
                <w:caps w:val="0"/>
                <w:color w:val="auto"/>
                <w:spacing w:val="0"/>
                <w:kern w:val="2"/>
                <w:sz w:val="24"/>
                <w:szCs w:val="24"/>
                <w:highlight w:val="none"/>
                <w:shd w:val="clear" w:fill="FFFFFF"/>
                <w:vertAlign w:val="baseline"/>
                <w:lang w:val="en-US" w:eastAsia="zh-CN" w:bidi="ar-SA"/>
              </w:rPr>
              <w:t>755.52</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kern w:val="2"/>
                <w:sz w:val="24"/>
                <w:szCs w:val="24"/>
                <w:highlight w:val="none"/>
                <w:shd w:val="clear" w:fill="FFFFFF"/>
                <w:vertAlign w:val="baseline"/>
                <w:lang w:val="en-US" w:eastAsia="zh-CN" w:bidi="ar-SA"/>
              </w:rPr>
            </w:pPr>
            <w:r>
              <w:rPr>
                <w:rFonts w:hint="eastAsia" w:ascii="Times New Roman" w:hAnsi="Times New Roman" w:cs="仿宋_GB2312"/>
                <w:b w:val="0"/>
                <w:bCs w:val="0"/>
                <w:i w:val="0"/>
                <w:iCs w:val="0"/>
                <w:caps w:val="0"/>
                <w:color w:val="auto"/>
                <w:spacing w:val="0"/>
                <w:kern w:val="2"/>
                <w:sz w:val="24"/>
                <w:szCs w:val="24"/>
                <w:highlight w:val="none"/>
                <w:shd w:val="clear" w:fill="FFFFFF"/>
                <w:vertAlign w:val="baseline"/>
                <w:lang w:val="en-US" w:eastAsia="zh-CN" w:bidi="ar-S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全社会用电量</w:t>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亿千瓦时</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70.57</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87.69</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462"/>
              </w:tabs>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电力装机规模</w:t>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万千瓦</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421.2</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483.5</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火电装机规模</w:t>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万千瓦</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412.9</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441.2</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Times New Roman" w:hAnsi="Times New Roman" w:eastAsia="仿宋_GB2312" w:cs="仿宋_GB2312"/>
                <w:b w:val="0"/>
                <w:bCs w:val="0"/>
                <w:i w:val="0"/>
                <w:iCs w:val="0"/>
                <w:caps w:val="0"/>
                <w:color w:val="auto"/>
                <w:spacing w:val="0"/>
                <w:kern w:val="2"/>
                <w:sz w:val="24"/>
                <w:szCs w:val="24"/>
                <w:highlight w:val="none"/>
                <w:shd w:val="clear" w:fill="FFFFFF"/>
                <w:vertAlign w:val="baseline"/>
                <w:lang w:val="en-US" w:eastAsia="zh-CN" w:bidi="ar-SA"/>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水</w:t>
            </w: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电装机规模</w:t>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Times New Roman" w:hAnsi="Times New Roman" w:eastAsia="仿宋_GB2312" w:cs="仿宋_GB2312"/>
                <w:b w:val="0"/>
                <w:bCs w:val="0"/>
                <w:i w:val="0"/>
                <w:iCs w:val="0"/>
                <w:caps w:val="0"/>
                <w:color w:val="auto"/>
                <w:spacing w:val="0"/>
                <w:kern w:val="2"/>
                <w:sz w:val="24"/>
                <w:szCs w:val="24"/>
                <w:highlight w:val="none"/>
                <w:shd w:val="clear" w:fill="FFFFFF"/>
                <w:vertAlign w:val="baseline"/>
                <w:lang w:val="en-US" w:eastAsia="zh-CN" w:bidi="ar-SA"/>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万千瓦</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0</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0</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风光装机规模</w:t>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万千瓦</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8.3</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42.3</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新型储能装机规模</w:t>
            </w:r>
          </w:p>
        </w:tc>
        <w:tc>
          <w:tcPr>
            <w:tcW w:w="14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万千瓦</w:t>
            </w:r>
          </w:p>
        </w:tc>
        <w:tc>
          <w:tcPr>
            <w:tcW w:w="15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0</w:t>
            </w:r>
          </w:p>
        </w:tc>
        <w:tc>
          <w:tcPr>
            <w:tcW w:w="157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t>5.0</w:t>
            </w:r>
          </w:p>
        </w:tc>
        <w:tc>
          <w:tcPr>
            <w:tcW w:w="12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Times New Roman" w:hAnsi="Times New Roman" w:eastAsia="仿宋_GB2312" w:cs="仿宋_GB2312"/>
                <w:b w:val="0"/>
                <w:bCs w:val="0"/>
                <w:i w:val="0"/>
                <w:iCs w:val="0"/>
                <w:caps w:val="0"/>
                <w:color w:val="auto"/>
                <w:spacing w:val="0"/>
                <w:sz w:val="24"/>
                <w:szCs w:val="24"/>
                <w:highlight w:val="none"/>
                <w:shd w:val="clear" w:fill="FFFFFF"/>
                <w:vertAlign w:val="baseline"/>
                <w:lang w:val="en-US" w:eastAsia="zh-CN"/>
              </w:rPr>
            </w:pPr>
            <w:r>
              <w:rPr>
                <w:rFonts w:hint="eastAsia" w:ascii="Times New Roman" w:hAnsi="Times New Roman" w:cs="仿宋_GB2312"/>
                <w:b w:val="0"/>
                <w:bCs w:val="0"/>
                <w:i w:val="0"/>
                <w:iCs w:val="0"/>
                <w:caps w:val="0"/>
                <w:color w:val="auto"/>
                <w:spacing w:val="0"/>
                <w:sz w:val="24"/>
                <w:szCs w:val="24"/>
                <w:highlight w:val="none"/>
                <w:shd w:val="clear" w:fill="FFFFFF"/>
                <w:vertAlign w:val="baseline"/>
                <w:lang w:val="en-US" w:eastAsia="zh-CN"/>
              </w:rPr>
              <w:t>/</w:t>
            </w:r>
          </w:p>
        </w:tc>
      </w:tr>
    </w:tbl>
    <w:p>
      <w:pPr>
        <w:pStyle w:val="3"/>
        <w:numPr>
          <w:ilvl w:val="0"/>
          <w:numId w:val="0"/>
        </w:numPr>
        <w:ind w:firstLine="640" w:firstLineChars="200"/>
        <w:rPr>
          <w:rFonts w:hint="default"/>
          <w:color w:val="auto"/>
          <w:highlight w:val="none"/>
          <w:lang w:val="en-US" w:eastAsia="zh-CN"/>
        </w:rPr>
      </w:pPr>
      <w:bookmarkStart w:id="43" w:name="_Toc613"/>
      <w:bookmarkStart w:id="44" w:name="_Toc27553"/>
      <w:r>
        <w:rPr>
          <w:rFonts w:hint="eastAsia"/>
          <w:color w:val="auto"/>
          <w:highlight w:val="none"/>
        </w:rPr>
        <w:t>（</w:t>
      </w:r>
      <w:r>
        <w:rPr>
          <w:rFonts w:hint="eastAsia"/>
          <w:color w:val="auto"/>
          <w:highlight w:val="none"/>
          <w:lang w:val="en-US" w:eastAsia="zh-CN"/>
        </w:rPr>
        <w:t>二</w:t>
      </w:r>
      <w:r>
        <w:rPr>
          <w:rFonts w:hint="eastAsia"/>
          <w:color w:val="auto"/>
          <w:highlight w:val="none"/>
        </w:rPr>
        <w:t>）</w:t>
      </w:r>
      <w:r>
        <w:rPr>
          <w:rFonts w:hint="eastAsia"/>
          <w:color w:val="auto"/>
          <w:highlight w:val="none"/>
          <w:lang w:val="en-US" w:eastAsia="zh-CN"/>
        </w:rPr>
        <w:t>面临形势</w:t>
      </w:r>
      <w:bookmarkEnd w:id="42"/>
      <w:bookmarkEnd w:id="43"/>
      <w:bookmarkEnd w:id="44"/>
    </w:p>
    <w:p>
      <w:pPr>
        <w:pStyle w:val="22"/>
        <w:spacing w:line="560" w:lineRule="exact"/>
        <w:ind w:firstLine="640"/>
        <w:rPr>
          <w:rFonts w:hint="eastAsia" w:ascii="Times New Roman" w:hAnsi="Times New Roman" w:eastAsia="仿宋_GB2312" w:cs="仿宋_GB2312"/>
          <w:i w:val="0"/>
          <w:iCs w:val="0"/>
          <w:caps w:val="0"/>
          <w:color w:val="auto"/>
          <w:spacing w:val="0"/>
          <w:sz w:val="32"/>
          <w:szCs w:val="32"/>
          <w:highlight w:val="none"/>
          <w:shd w:val="clear" w:fill="auto"/>
          <w:lang w:val="en-US" w:eastAsia="zh-CN"/>
        </w:rPr>
      </w:pP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十五五</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时期，世界百年未有之大变局全方位、深层次加速演进，深刻影响全球能源供需格局。我国碳达峰行动进入</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关键攻坚期</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，要求全力推进产业结构升级、经济发展活跃和能源结构清洁，统筹能源高质量发展和高水平安全面临更大挑战。湖北</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建成支点</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战略要求</w:t>
      </w:r>
      <w:r>
        <w:rPr>
          <w:rFonts w:hint="eastAsia" w:cs="仿宋_GB2312"/>
          <w:i w:val="0"/>
          <w:iCs w:val="0"/>
          <w:caps w:val="0"/>
          <w:color w:val="auto"/>
          <w:spacing w:val="0"/>
          <w:sz w:val="32"/>
          <w:szCs w:val="32"/>
          <w:highlight w:val="none"/>
          <w:shd w:val="clear" w:fill="auto"/>
          <w:lang w:val="en-US" w:eastAsia="zh-CN"/>
        </w:rPr>
        <w:t>鄂州</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在</w:t>
      </w:r>
      <w:r>
        <w:rPr>
          <w:rFonts w:hint="eastAsia" w:cs="仿宋_GB2312"/>
          <w:i w:val="0"/>
          <w:iCs w:val="0"/>
          <w:caps w:val="0"/>
          <w:color w:val="auto"/>
          <w:spacing w:val="0"/>
          <w:sz w:val="32"/>
          <w:szCs w:val="32"/>
          <w:highlight w:val="none"/>
          <w:shd w:val="clear" w:fill="auto"/>
          <w:lang w:val="en-US" w:eastAsia="zh-CN"/>
        </w:rPr>
        <w:t>能源安全保供</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中奋勇争先。外部形势复杂多变，挑战和机遇并存，对</w:t>
      </w:r>
      <w:r>
        <w:rPr>
          <w:rFonts w:hint="eastAsia" w:cs="仿宋_GB2312"/>
          <w:i w:val="0"/>
          <w:iCs w:val="0"/>
          <w:caps w:val="0"/>
          <w:color w:val="auto"/>
          <w:spacing w:val="0"/>
          <w:sz w:val="32"/>
          <w:szCs w:val="32"/>
          <w:highlight w:val="none"/>
          <w:shd w:val="clear" w:fill="auto"/>
          <w:lang w:val="en-US" w:eastAsia="zh-CN"/>
        </w:rPr>
        <w:t>鄂州市</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能源行业发展提出了更高要求。</w:t>
      </w:r>
    </w:p>
    <w:p>
      <w:pPr>
        <w:pStyle w:val="22"/>
        <w:spacing w:line="560" w:lineRule="exact"/>
        <w:ind w:firstLine="640"/>
        <w:rPr>
          <w:rFonts w:hint="eastAsia" w:ascii="Times New Roman" w:hAnsi="Times New Roman" w:eastAsia="仿宋_GB2312" w:cs="仿宋_GB2312"/>
          <w:i w:val="0"/>
          <w:iCs w:val="0"/>
          <w:caps w:val="0"/>
          <w:color w:val="auto"/>
          <w:spacing w:val="0"/>
          <w:sz w:val="32"/>
          <w:szCs w:val="32"/>
          <w:highlight w:val="none"/>
          <w:shd w:val="clear" w:fill="auto"/>
          <w:lang w:val="en-US" w:eastAsia="zh-CN"/>
        </w:rPr>
      </w:pPr>
      <w:r>
        <w:rPr>
          <w:rFonts w:hint="eastAsia" w:ascii="Times New Roman" w:hAnsi="Times New Roman" w:eastAsia="仿宋_GB2312" w:cs="仿宋_GB2312"/>
          <w:b/>
          <w:bCs w:val="0"/>
          <w:i w:val="0"/>
          <w:iCs w:val="0"/>
          <w:caps w:val="0"/>
          <w:color w:val="auto"/>
          <w:spacing w:val="0"/>
          <w:sz w:val="32"/>
          <w:szCs w:val="32"/>
          <w:highlight w:val="none"/>
          <w:shd w:val="clear" w:fill="auto"/>
          <w:lang w:val="en-US" w:eastAsia="zh-CN"/>
        </w:rPr>
        <w:t>一是能源安全承压加大，韧性保供形势趋紧。</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鄂州作为典型能源受端城市，煤炭、天然气对外依存度高，能源供应高度依赖外部资源输入，受国际能源市场波动和国内结构转型双重影响，资源调运协调与应急储备压力持续加大。随着临空经济区提速和高端制造业壮大，全社会用电及负荷稳步攀升，能源消费刚性增长与供给不确定性之间的矛盾日益凸显。全市</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近邻武汉、临江拥空</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区位条件优越，已建成骨干电网框架，具备深度融入区域能源网络协同发展的基础，但跨区域调配能力与快速增长的需求相比仍有差距，应急调峰设施有待补强。同时，围绕花湖国际机场，航空能源保障与地面绿色交通补给的一体化用能需求正加快形成，对能源供给的稳定性、多元化提出更高要求。</w:t>
      </w:r>
    </w:p>
    <w:p>
      <w:pPr>
        <w:pStyle w:val="22"/>
        <w:spacing w:line="560" w:lineRule="exact"/>
        <w:ind w:firstLine="640"/>
        <w:rPr>
          <w:rFonts w:hint="eastAsia" w:ascii="Times New Roman" w:hAnsi="Times New Roman" w:eastAsia="仿宋_GB2312" w:cs="仿宋_GB2312"/>
          <w:i w:val="0"/>
          <w:iCs w:val="0"/>
          <w:caps w:val="0"/>
          <w:color w:val="auto"/>
          <w:spacing w:val="0"/>
          <w:sz w:val="32"/>
          <w:szCs w:val="32"/>
          <w:highlight w:val="none"/>
          <w:shd w:val="clear" w:fill="auto"/>
          <w:lang w:val="en-US" w:eastAsia="zh-CN"/>
        </w:rPr>
      </w:pPr>
      <w:r>
        <w:rPr>
          <w:rFonts w:hint="eastAsia" w:ascii="Times New Roman" w:hAnsi="Times New Roman" w:eastAsia="仿宋_GB2312" w:cs="仿宋_GB2312"/>
          <w:b/>
          <w:bCs w:val="0"/>
          <w:i w:val="0"/>
          <w:iCs w:val="0"/>
          <w:caps w:val="0"/>
          <w:color w:val="auto"/>
          <w:spacing w:val="0"/>
          <w:sz w:val="32"/>
          <w:szCs w:val="32"/>
          <w:highlight w:val="none"/>
          <w:shd w:val="clear" w:fill="auto"/>
          <w:lang w:val="en-US" w:eastAsia="zh-CN"/>
        </w:rPr>
        <w:t>二是要素约束趋紧，项目落地瓶颈突出。</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鄂州地处武汉都市圈重要节点，能源建设受项目审批、土地空间、基础设施等多重因素制约，新能源开发企业投资意愿不强，优质开发资源日益稀缺，项目获取竞争持续加剧。</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三区三线</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调整后，集中连片优越土地资源日益紧缺，电网基础设施相对薄弱，配网发展与新能源增长需求不匹配，天然气管网互联互通和储气能力不足，老旧管网更新压力大。土地、电网、管网等要素短板相互叠加，已成为制约能源规模化开发的突出瓶颈，且短期内难以根本缓解。</w:t>
      </w:r>
    </w:p>
    <w:p>
      <w:pPr>
        <w:pStyle w:val="22"/>
        <w:spacing w:line="560" w:lineRule="exact"/>
        <w:ind w:firstLine="640"/>
        <w:rPr>
          <w:rFonts w:hint="eastAsia" w:ascii="Times New Roman" w:hAnsi="Times New Roman" w:eastAsia="仿宋_GB2312" w:cs="仿宋_GB2312"/>
          <w:i w:val="0"/>
          <w:iCs w:val="0"/>
          <w:caps w:val="0"/>
          <w:color w:val="auto"/>
          <w:spacing w:val="0"/>
          <w:sz w:val="32"/>
          <w:szCs w:val="32"/>
          <w:highlight w:val="none"/>
          <w:shd w:val="clear" w:fill="auto"/>
          <w:lang w:val="en-US" w:eastAsia="zh-CN"/>
        </w:rPr>
      </w:pPr>
      <w:r>
        <w:rPr>
          <w:rFonts w:hint="eastAsia" w:ascii="Times New Roman" w:hAnsi="Times New Roman" w:eastAsia="仿宋_GB2312" w:cs="仿宋_GB2312"/>
          <w:b/>
          <w:bCs w:val="0"/>
          <w:i w:val="0"/>
          <w:iCs w:val="0"/>
          <w:caps w:val="0"/>
          <w:color w:val="auto"/>
          <w:spacing w:val="0"/>
          <w:sz w:val="32"/>
          <w:szCs w:val="32"/>
          <w:highlight w:val="none"/>
          <w:shd w:val="clear" w:fill="auto"/>
          <w:lang w:val="en-US" w:eastAsia="zh-CN"/>
        </w:rPr>
        <w:t>三是转型任务艰巨，结构优化压力凸显。</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鄂州能源消费结构以煤为主，钢铁、建材、电力等传统产业占比偏高，战略性新兴产业规模较小，规模以上重工业占比高，清洁化用能压力巨大；清洁能源发展速度偏慢，生产端与消费端尚未形成良好供需互动，消费侧替代转型滞后已反向制约上游清洁能源产业发展。与此同时，高端装备制造、临空经济、新材料、现代物流等主导产业集群加快壮大，光电子信息、精密机械等产业对高品质能源的需求持续提升，对能源供给的清洁化、智能化水平提出更高要求；依托花湖机场枢纽，新能源装备、绿色低碳服务等关联产业呈现集聚发展态势，能源产业与地方经济深度融合的空间正在打开，绿色转型既面临压力，也蕴含机遇。</w:t>
      </w:r>
    </w:p>
    <w:p>
      <w:pPr>
        <w:pStyle w:val="22"/>
        <w:spacing w:line="560" w:lineRule="exact"/>
        <w:ind w:firstLine="640"/>
        <w:rPr>
          <w:rFonts w:hint="eastAsia" w:ascii="Times New Roman" w:hAnsi="Times New Roman" w:eastAsia="仿宋_GB2312" w:cs="仿宋_GB2312"/>
          <w:i w:val="0"/>
          <w:iCs w:val="0"/>
          <w:caps w:val="0"/>
          <w:color w:val="auto"/>
          <w:spacing w:val="0"/>
          <w:sz w:val="32"/>
          <w:szCs w:val="32"/>
          <w:highlight w:val="none"/>
          <w:shd w:val="clear" w:fill="auto"/>
          <w:lang w:val="en-US" w:eastAsia="zh-CN"/>
        </w:rPr>
      </w:pPr>
      <w:r>
        <w:rPr>
          <w:rFonts w:hint="eastAsia" w:ascii="Times New Roman" w:hAnsi="Times New Roman" w:eastAsia="仿宋_GB2312" w:cs="仿宋_GB2312"/>
          <w:b/>
          <w:bCs w:val="0"/>
          <w:i w:val="0"/>
          <w:iCs w:val="0"/>
          <w:caps w:val="0"/>
          <w:color w:val="auto"/>
          <w:spacing w:val="0"/>
          <w:sz w:val="32"/>
          <w:szCs w:val="32"/>
          <w:highlight w:val="none"/>
          <w:shd w:val="clear" w:fill="auto"/>
          <w:lang w:val="en-US" w:eastAsia="zh-CN"/>
        </w:rPr>
        <w:t>总体看，</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十五五</w:t>
      </w:r>
      <w:r>
        <w:rPr>
          <w:rFonts w:hint="eastAsia" w:cs="仿宋_GB2312"/>
          <w:i w:val="0"/>
          <w:iCs w:val="0"/>
          <w:caps w:val="0"/>
          <w:color w:val="auto"/>
          <w:spacing w:val="0"/>
          <w:sz w:val="32"/>
          <w:szCs w:val="32"/>
          <w:highlight w:val="none"/>
          <w:shd w:val="clear" w:fill="auto"/>
          <w:lang w:val="en-US" w:eastAsia="zh-CN"/>
        </w:rPr>
        <w:t>”</w:t>
      </w:r>
      <w:r>
        <w:rPr>
          <w:rFonts w:hint="eastAsia" w:ascii="Times New Roman" w:hAnsi="Times New Roman" w:eastAsia="仿宋_GB2312" w:cs="仿宋_GB2312"/>
          <w:i w:val="0"/>
          <w:iCs w:val="0"/>
          <w:caps w:val="0"/>
          <w:color w:val="auto"/>
          <w:spacing w:val="0"/>
          <w:sz w:val="32"/>
          <w:szCs w:val="32"/>
          <w:highlight w:val="none"/>
          <w:shd w:val="clear" w:fill="auto"/>
          <w:lang w:val="en-US" w:eastAsia="zh-CN"/>
        </w:rPr>
        <w:t>时期鄂州能源发展正处于保供压力加大、要素约束趋紧、转型任务艰巨的承压阶段，但区位枢纽优势、区域协同条件和产业升级需求也为能源高质量发展提供了重要支撑和窗口机遇，机遇与挑战并存、机遇大于挑战的形势判断基本成立。</w:t>
      </w:r>
    </w:p>
    <w:p>
      <w:pPr>
        <w:pStyle w:val="22"/>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0" w:firstLineChars="200"/>
        <w:textAlignment w:val="baseline"/>
        <w:outlineLvl w:val="0"/>
        <w:rPr>
          <w:rFonts w:hint="default" w:ascii="黑体" w:hAnsi="黑体" w:eastAsia="黑体" w:cs="黑体"/>
          <w:i w:val="0"/>
          <w:iCs w:val="0"/>
          <w:caps w:val="0"/>
          <w:color w:val="auto"/>
          <w:spacing w:val="0"/>
          <w:sz w:val="32"/>
          <w:szCs w:val="23"/>
          <w:highlight w:val="none"/>
          <w:shd w:val="clear" w:fill="FFFFFF"/>
          <w:lang w:val="en-US" w:eastAsia="zh-CN"/>
        </w:rPr>
      </w:pPr>
      <w:bookmarkStart w:id="45" w:name="_Toc30595"/>
      <w:bookmarkStart w:id="46" w:name="_Toc9609"/>
      <w:bookmarkStart w:id="47" w:name="_Toc27225"/>
      <w:r>
        <w:rPr>
          <w:rFonts w:hint="eastAsia" w:ascii="黑体" w:hAnsi="黑体" w:eastAsia="黑体" w:cs="黑体"/>
          <w:i w:val="0"/>
          <w:iCs w:val="0"/>
          <w:caps w:val="0"/>
          <w:color w:val="auto"/>
          <w:spacing w:val="0"/>
          <w:sz w:val="32"/>
          <w:szCs w:val="23"/>
          <w:highlight w:val="none"/>
          <w:shd w:val="clear" w:fill="FFFFFF"/>
          <w:lang w:val="en-US" w:eastAsia="zh-CN"/>
        </w:rPr>
        <w:t>总体要求</w:t>
      </w:r>
      <w:bookmarkEnd w:id="45"/>
      <w:bookmarkEnd w:id="46"/>
      <w:bookmarkEnd w:id="47"/>
    </w:p>
    <w:p>
      <w:pPr>
        <w:pStyle w:val="3"/>
        <w:numPr>
          <w:ilvl w:val="0"/>
          <w:numId w:val="3"/>
        </w:numPr>
        <w:ind w:firstLine="640" w:firstLineChars="200"/>
        <w:rPr>
          <w:rFonts w:hint="eastAsia"/>
          <w:color w:val="auto"/>
          <w:highlight w:val="none"/>
          <w:lang w:val="en-US" w:eastAsia="zh-CN"/>
        </w:rPr>
      </w:pPr>
      <w:bookmarkStart w:id="48" w:name="_Toc20215"/>
      <w:bookmarkStart w:id="49" w:name="_Toc26122"/>
      <w:bookmarkStart w:id="50" w:name="_Toc11051"/>
      <w:r>
        <w:rPr>
          <w:rFonts w:hint="eastAsia"/>
          <w:color w:val="auto"/>
          <w:highlight w:val="none"/>
          <w:lang w:val="en-US" w:eastAsia="zh-CN"/>
        </w:rPr>
        <w:t>指导思想</w:t>
      </w:r>
      <w:bookmarkEnd w:id="48"/>
      <w:bookmarkEnd w:id="49"/>
      <w:bookmarkEnd w:id="50"/>
    </w:p>
    <w:p>
      <w:pPr>
        <w:keepNext w:val="0"/>
        <w:keepLines w:val="0"/>
        <w:pageBreakBefore w:val="0"/>
        <w:widowControl/>
        <w:shd w:val="clear" w:color="auto" w:fill="FFFFFF"/>
        <w:kinsoku/>
        <w:wordWrap/>
        <w:overflowPunct/>
        <w:topLinePunct w:val="0"/>
        <w:bidi w:val="0"/>
        <w:ind w:firstLine="640"/>
        <w:jc w:val="left"/>
        <w:rPr>
          <w:rFonts w:hint="eastAsia" w:ascii="Times New Roman" w:hAnsi="Times New Roman" w:eastAsia="仿宋_GB2312" w:cs="Arial"/>
          <w:bCs/>
          <w:snapToGrid w:val="0"/>
          <w:color w:val="auto"/>
          <w:kern w:val="0"/>
          <w:szCs w:val="23"/>
          <w:highlight w:val="none"/>
          <w:shd w:val="clear" w:color="auto" w:fill="FFFFFF"/>
          <w:lang w:eastAsia="zh-CN"/>
        </w:rPr>
      </w:pPr>
      <w:r>
        <w:rPr>
          <w:rFonts w:hint="default" w:ascii="Times New Roman" w:hAnsi="Times New Roman" w:cs="Arial"/>
          <w:bCs/>
          <w:snapToGrid w:val="0"/>
          <w:color w:val="auto"/>
          <w:kern w:val="0"/>
          <w:szCs w:val="23"/>
          <w:highlight w:val="none"/>
          <w:shd w:val="clear" w:color="auto" w:fill="FFFFFF"/>
          <w:lang w:val="en-US" w:eastAsia="zh-CN"/>
        </w:rPr>
        <w:t>坚持以习近平新时代中国特色社会主义思想为指导，深入贯彻党的二十大和二十届</w:t>
      </w:r>
      <w:r>
        <w:rPr>
          <w:rFonts w:hint="eastAsia" w:ascii="Times New Roman" w:hAnsi="Times New Roman" w:cs="Arial"/>
          <w:bCs/>
          <w:snapToGrid w:val="0"/>
          <w:color w:val="auto"/>
          <w:kern w:val="0"/>
          <w:szCs w:val="23"/>
          <w:highlight w:val="none"/>
          <w:shd w:val="clear" w:color="auto" w:fill="FFFFFF"/>
          <w:lang w:val="en-US" w:eastAsia="zh-CN"/>
        </w:rPr>
        <w:t>历次</w:t>
      </w:r>
      <w:r>
        <w:rPr>
          <w:rFonts w:hint="default" w:ascii="Times New Roman" w:hAnsi="Times New Roman" w:cs="Arial"/>
          <w:bCs/>
          <w:snapToGrid w:val="0"/>
          <w:color w:val="auto"/>
          <w:kern w:val="0"/>
          <w:szCs w:val="23"/>
          <w:highlight w:val="none"/>
          <w:shd w:val="clear" w:color="auto" w:fill="FFFFFF"/>
          <w:lang w:val="en-US" w:eastAsia="zh-CN"/>
        </w:rPr>
        <w:t>全会精神，认真落实习近平总书记考察湖北重要讲话精神，深入践行</w:t>
      </w:r>
      <w:r>
        <w:rPr>
          <w:rFonts w:hint="eastAsia" w:ascii="Times New Roman" w:hAnsi="Times New Roman" w:cs="Arial"/>
          <w:bCs/>
          <w:snapToGrid w:val="0"/>
          <w:color w:val="auto"/>
          <w:kern w:val="0"/>
          <w:szCs w:val="23"/>
          <w:highlight w:val="none"/>
          <w:shd w:val="clear" w:color="auto" w:fill="FFFFFF"/>
          <w:lang w:val="en-US" w:eastAsia="zh-CN"/>
        </w:rPr>
        <w:t>“</w:t>
      </w:r>
      <w:r>
        <w:rPr>
          <w:rFonts w:hint="default" w:ascii="Times New Roman" w:hAnsi="Times New Roman" w:cs="Arial"/>
          <w:bCs/>
          <w:snapToGrid w:val="0"/>
          <w:color w:val="auto"/>
          <w:kern w:val="0"/>
          <w:szCs w:val="23"/>
          <w:highlight w:val="none"/>
          <w:shd w:val="clear" w:color="auto" w:fill="FFFFFF"/>
          <w:lang w:val="en-US" w:eastAsia="zh-CN"/>
        </w:rPr>
        <w:t>四个革命、一个合作</w:t>
      </w:r>
      <w:r>
        <w:rPr>
          <w:rFonts w:hint="eastAsia" w:ascii="Times New Roman" w:hAnsi="Times New Roman" w:cs="Arial"/>
          <w:bCs/>
          <w:snapToGrid w:val="0"/>
          <w:color w:val="auto"/>
          <w:kern w:val="0"/>
          <w:szCs w:val="23"/>
          <w:highlight w:val="none"/>
          <w:shd w:val="clear" w:color="auto" w:fill="FFFFFF"/>
          <w:lang w:val="en-US" w:eastAsia="zh-CN"/>
        </w:rPr>
        <w:t>”</w:t>
      </w:r>
      <w:r>
        <w:rPr>
          <w:rFonts w:hint="default" w:ascii="Times New Roman" w:hAnsi="Times New Roman" w:cs="Arial"/>
          <w:bCs/>
          <w:snapToGrid w:val="0"/>
          <w:color w:val="auto"/>
          <w:kern w:val="0"/>
          <w:szCs w:val="23"/>
          <w:highlight w:val="none"/>
          <w:shd w:val="clear" w:color="auto" w:fill="FFFFFF"/>
          <w:lang w:val="en-US" w:eastAsia="zh-CN"/>
        </w:rPr>
        <w:t>能源安全新战略，完整准确全面贯彻新发展理念，着力落实</w:t>
      </w:r>
      <w:r>
        <w:rPr>
          <w:rFonts w:hint="eastAsia" w:ascii="Times New Roman" w:hAnsi="Times New Roman" w:cs="Arial"/>
          <w:bCs/>
          <w:snapToGrid w:val="0"/>
          <w:color w:val="auto"/>
          <w:kern w:val="0"/>
          <w:szCs w:val="23"/>
          <w:highlight w:val="none"/>
          <w:shd w:val="clear" w:color="auto" w:fill="FFFFFF"/>
          <w:lang w:val="en-US" w:eastAsia="zh-CN"/>
        </w:rPr>
        <w:t>省委、省政府</w:t>
      </w:r>
      <w:r>
        <w:rPr>
          <w:rFonts w:hint="default" w:ascii="Times New Roman" w:hAnsi="Times New Roman" w:cs="Arial"/>
          <w:bCs/>
          <w:snapToGrid w:val="0"/>
          <w:color w:val="auto"/>
          <w:kern w:val="0"/>
          <w:szCs w:val="23"/>
          <w:highlight w:val="none"/>
          <w:shd w:val="clear" w:color="auto" w:fill="FFFFFF"/>
          <w:lang w:val="en-US" w:eastAsia="zh-CN"/>
        </w:rPr>
        <w:t>支点建设战略部署，</w:t>
      </w:r>
      <w:r>
        <w:rPr>
          <w:rFonts w:hint="eastAsia" w:ascii="Times New Roman" w:hAnsi="Times New Roman" w:cs="Arial"/>
          <w:bCs/>
          <w:snapToGrid w:val="0"/>
          <w:color w:val="auto"/>
          <w:kern w:val="0"/>
          <w:szCs w:val="23"/>
          <w:highlight w:val="none"/>
          <w:shd w:val="clear" w:color="auto" w:fill="FFFFFF"/>
          <w:lang w:val="en-US" w:eastAsia="zh-CN"/>
        </w:rPr>
        <w:t>确保如期实现碳达峰，前瞻布局碳中和，</w:t>
      </w:r>
      <w:r>
        <w:rPr>
          <w:rFonts w:hint="default" w:ascii="Times New Roman" w:hAnsi="Times New Roman" w:cs="Arial"/>
          <w:bCs/>
          <w:snapToGrid w:val="0"/>
          <w:color w:val="auto"/>
          <w:kern w:val="0"/>
          <w:szCs w:val="23"/>
          <w:highlight w:val="none"/>
          <w:shd w:val="clear" w:color="auto" w:fill="FFFFFF"/>
        </w:rPr>
        <w:t>构建清洁低碳安全高效的</w:t>
      </w:r>
      <w:r>
        <w:rPr>
          <w:rFonts w:hint="eastAsia" w:ascii="Times New Roman" w:hAnsi="Times New Roman" w:cs="Arial"/>
          <w:bCs/>
          <w:snapToGrid w:val="0"/>
          <w:color w:val="auto"/>
          <w:kern w:val="0"/>
          <w:szCs w:val="23"/>
          <w:highlight w:val="none"/>
          <w:shd w:val="clear" w:color="auto" w:fill="FFFFFF"/>
          <w:lang w:eastAsia="zh-CN"/>
        </w:rPr>
        <w:t>新型</w:t>
      </w:r>
      <w:r>
        <w:rPr>
          <w:rFonts w:hint="default" w:ascii="Times New Roman" w:hAnsi="Times New Roman" w:cs="Arial"/>
          <w:bCs/>
          <w:snapToGrid w:val="0"/>
          <w:color w:val="auto"/>
          <w:kern w:val="0"/>
          <w:szCs w:val="23"/>
          <w:highlight w:val="none"/>
          <w:shd w:val="clear" w:color="auto" w:fill="FFFFFF"/>
        </w:rPr>
        <w:t>能源体系为目标，统筹能源安全与转型，加快能源数字化智能化发展，</w:t>
      </w:r>
      <w:r>
        <w:rPr>
          <w:rFonts w:hint="eastAsia" w:ascii="Times New Roman" w:hAnsi="Times New Roman" w:cs="Arial"/>
          <w:bCs/>
          <w:snapToGrid w:val="0"/>
          <w:color w:val="auto"/>
          <w:kern w:val="0"/>
          <w:szCs w:val="23"/>
          <w:highlight w:val="none"/>
          <w:shd w:val="clear" w:color="auto" w:fill="FFFFFF"/>
        </w:rPr>
        <w:t>聚力新能源量质协同发展、培育壮大新能源全产业链</w:t>
      </w:r>
      <w:r>
        <w:rPr>
          <w:rFonts w:hint="default" w:ascii="Times New Roman" w:hAnsi="Times New Roman" w:cs="Arial"/>
          <w:bCs/>
          <w:snapToGrid w:val="0"/>
          <w:color w:val="auto"/>
          <w:kern w:val="0"/>
          <w:szCs w:val="23"/>
          <w:highlight w:val="none"/>
          <w:shd w:val="clear" w:color="auto" w:fill="FFFFFF"/>
        </w:rPr>
        <w:t>，完善产供储销体系，</w:t>
      </w:r>
      <w:r>
        <w:rPr>
          <w:rFonts w:hint="eastAsia" w:ascii="Times New Roman" w:hAnsi="Times New Roman" w:cs="Arial"/>
          <w:bCs/>
          <w:snapToGrid w:val="0"/>
          <w:color w:val="auto"/>
          <w:kern w:val="0"/>
          <w:szCs w:val="23"/>
          <w:highlight w:val="none"/>
          <w:shd w:val="clear" w:color="auto" w:fill="FFFFFF"/>
          <w:lang w:val="en-US" w:eastAsia="zh-CN"/>
        </w:rPr>
        <w:t>加快建成</w:t>
      </w:r>
      <w:r>
        <w:rPr>
          <w:rFonts w:hint="eastAsia" w:ascii="Times New Roman" w:hAnsi="Times New Roman" w:cs="Arial"/>
          <w:b w:val="0"/>
          <w:bCs/>
          <w:snapToGrid w:val="0"/>
          <w:color w:val="auto"/>
          <w:spacing w:val="0"/>
          <w:kern w:val="0"/>
          <w:sz w:val="32"/>
          <w:szCs w:val="23"/>
          <w:highlight w:val="none"/>
          <w:shd w:val="clear" w:color="auto" w:fill="FFFFFF"/>
          <w:lang w:val="en-US" w:eastAsia="zh-CN" w:bidi="ar-SA"/>
        </w:rPr>
        <w:t>武鄂区域</w:t>
      </w:r>
      <w:r>
        <w:rPr>
          <w:rFonts w:hint="eastAsia" w:ascii="Times New Roman" w:hAnsi="Times New Roman" w:eastAsia="仿宋_GB2312" w:cs="Arial"/>
          <w:b w:val="0"/>
          <w:bCs/>
          <w:snapToGrid w:val="0"/>
          <w:color w:val="auto"/>
          <w:spacing w:val="0"/>
          <w:kern w:val="0"/>
          <w:sz w:val="32"/>
          <w:szCs w:val="23"/>
          <w:highlight w:val="none"/>
          <w:shd w:val="clear" w:color="auto" w:fill="FFFFFF"/>
          <w:lang w:val="en-US" w:eastAsia="zh-CN" w:bidi="ar-SA"/>
        </w:rPr>
        <w:t>电力枢纽</w:t>
      </w:r>
      <w:r>
        <w:rPr>
          <w:rFonts w:hint="eastAsia" w:ascii="Times New Roman" w:hAnsi="Times New Roman" w:cs="Arial"/>
          <w:b w:val="0"/>
          <w:bCs/>
          <w:snapToGrid w:val="0"/>
          <w:color w:val="auto"/>
          <w:spacing w:val="0"/>
          <w:kern w:val="0"/>
          <w:sz w:val="32"/>
          <w:szCs w:val="23"/>
          <w:highlight w:val="none"/>
          <w:shd w:val="clear" w:color="auto" w:fill="FFFFFF"/>
          <w:lang w:val="en-US" w:eastAsia="zh-CN" w:bidi="ar-SA"/>
        </w:rPr>
        <w:t>、</w:t>
      </w:r>
      <w:r>
        <w:rPr>
          <w:rFonts w:hint="eastAsia" w:ascii="Times New Roman" w:hAnsi="Times New Roman" w:eastAsia="仿宋_GB2312" w:cs="Arial"/>
          <w:b w:val="0"/>
          <w:bCs/>
          <w:snapToGrid w:val="0"/>
          <w:color w:val="auto"/>
          <w:spacing w:val="0"/>
          <w:kern w:val="0"/>
          <w:sz w:val="32"/>
          <w:szCs w:val="23"/>
          <w:highlight w:val="none"/>
          <w:shd w:val="clear" w:color="auto" w:fill="FFFFFF"/>
          <w:lang w:val="en-US" w:eastAsia="zh-CN" w:bidi="ar-SA"/>
        </w:rPr>
        <w:t>湖北省重要能源基地</w:t>
      </w:r>
      <w:r>
        <w:rPr>
          <w:rFonts w:hint="eastAsia" w:ascii="Times New Roman" w:hAnsi="Times New Roman" w:cs="Arial"/>
          <w:b w:val="0"/>
          <w:bCs/>
          <w:snapToGrid w:val="0"/>
          <w:color w:val="auto"/>
          <w:spacing w:val="0"/>
          <w:kern w:val="0"/>
          <w:sz w:val="32"/>
          <w:szCs w:val="23"/>
          <w:highlight w:val="none"/>
          <w:shd w:val="clear" w:color="auto" w:fill="FFFFFF"/>
          <w:lang w:val="en-US" w:eastAsia="zh-CN" w:bidi="ar-SA"/>
        </w:rPr>
        <w:t>、</w:t>
      </w:r>
      <w:r>
        <w:rPr>
          <w:rFonts w:hint="eastAsia" w:ascii="Times New Roman" w:hAnsi="Times New Roman" w:eastAsia="仿宋_GB2312" w:cs="Arial"/>
          <w:b w:val="0"/>
          <w:bCs/>
          <w:snapToGrid w:val="0"/>
          <w:color w:val="auto"/>
          <w:spacing w:val="0"/>
          <w:kern w:val="0"/>
          <w:sz w:val="32"/>
          <w:szCs w:val="23"/>
          <w:highlight w:val="none"/>
          <w:shd w:val="clear" w:color="auto" w:fill="FFFFFF"/>
          <w:lang w:val="en-US" w:eastAsia="zh-CN" w:bidi="ar-SA"/>
        </w:rPr>
        <w:t>全国城乡能源综合示范区</w:t>
      </w:r>
      <w:r>
        <w:rPr>
          <w:rFonts w:hint="eastAsia"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为</w:t>
      </w:r>
      <w:r>
        <w:rPr>
          <w:rFonts w:hint="default" w:ascii="Times New Roman" w:hAnsi="Times New Roman" w:cs="Arial"/>
          <w:bCs/>
          <w:snapToGrid w:val="0"/>
          <w:color w:val="auto"/>
          <w:kern w:val="0"/>
          <w:szCs w:val="23"/>
          <w:highlight w:val="none"/>
          <w:shd w:val="clear" w:color="auto" w:fill="FFFFFF"/>
          <w:lang w:val="en-US" w:eastAsia="zh-CN"/>
        </w:rPr>
        <w:t>打造</w:t>
      </w:r>
      <w:r>
        <w:rPr>
          <w:rFonts w:hint="eastAsia" w:ascii="Times New Roman" w:hAnsi="Times New Roman" w:cs="Arial"/>
          <w:bCs/>
          <w:snapToGrid w:val="0"/>
          <w:color w:val="auto"/>
          <w:kern w:val="0"/>
          <w:szCs w:val="23"/>
          <w:highlight w:val="none"/>
          <w:shd w:val="clear" w:color="auto" w:fill="FFFFFF"/>
          <w:lang w:val="en-US" w:eastAsia="zh-CN"/>
        </w:rPr>
        <w:t>鄂州市</w:t>
      </w:r>
      <w:r>
        <w:rPr>
          <w:rFonts w:hint="eastAsia" w:ascii="Times New Roman" w:hAnsi="Times New Roman" w:cs="Arial"/>
          <w:bCs/>
          <w:snapToGrid w:val="0"/>
          <w:color w:val="auto"/>
          <w:kern w:val="0"/>
          <w:szCs w:val="23"/>
          <w:highlight w:val="none"/>
          <w:shd w:val="clear" w:color="auto" w:fill="FFFFFF"/>
          <w:lang w:eastAsia="zh-CN"/>
        </w:rPr>
        <w:t>“</w:t>
      </w:r>
      <w:r>
        <w:rPr>
          <w:rFonts w:hint="eastAsia" w:ascii="Times New Roman" w:hAnsi="Times New Roman" w:cs="Arial"/>
          <w:bCs/>
          <w:snapToGrid w:val="0"/>
          <w:color w:val="auto"/>
          <w:kern w:val="0"/>
          <w:szCs w:val="23"/>
          <w:highlight w:val="none"/>
          <w:shd w:val="clear" w:color="auto" w:fill="FFFFFF"/>
          <w:lang w:val="en-US" w:eastAsia="zh-CN"/>
        </w:rPr>
        <w:t>两区一枢纽</w:t>
      </w:r>
      <w:r>
        <w:rPr>
          <w:rFonts w:hint="eastAsia"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提供能源保障，为湖北</w:t>
      </w:r>
      <w:r>
        <w:rPr>
          <w:rFonts w:hint="default" w:ascii="Times New Roman" w:hAnsi="Times New Roman" w:cs="Arial"/>
          <w:bCs/>
          <w:snapToGrid w:val="0"/>
          <w:color w:val="auto"/>
          <w:kern w:val="0"/>
          <w:szCs w:val="23"/>
          <w:highlight w:val="none"/>
          <w:shd w:val="clear" w:color="auto" w:fill="FFFFFF"/>
          <w:lang w:val="en-US" w:eastAsia="zh-CN"/>
        </w:rPr>
        <w:t>加快建成中部地区崛起的重要战略支点</w:t>
      </w:r>
      <w:r>
        <w:rPr>
          <w:rFonts w:hint="default" w:ascii="Times New Roman" w:hAnsi="Times New Roman" w:cs="Arial"/>
          <w:bCs/>
          <w:snapToGrid w:val="0"/>
          <w:color w:val="auto"/>
          <w:kern w:val="0"/>
          <w:szCs w:val="23"/>
          <w:highlight w:val="none"/>
          <w:shd w:val="clear" w:color="auto" w:fill="FFFFFF"/>
        </w:rPr>
        <w:t>贡献</w:t>
      </w:r>
      <w:r>
        <w:rPr>
          <w:rFonts w:hint="default" w:ascii="Times New Roman" w:hAnsi="Times New Roman" w:cs="Arial"/>
          <w:bCs/>
          <w:snapToGrid w:val="0"/>
          <w:color w:val="auto"/>
          <w:kern w:val="0"/>
          <w:szCs w:val="23"/>
          <w:highlight w:val="none"/>
          <w:shd w:val="clear" w:color="auto" w:fill="FFFFFF"/>
          <w:lang w:val="en-US" w:eastAsia="zh-CN"/>
        </w:rPr>
        <w:t>鄂州</w:t>
      </w:r>
      <w:r>
        <w:rPr>
          <w:rFonts w:hint="default" w:ascii="Times New Roman" w:hAnsi="Times New Roman" w:cs="Arial"/>
          <w:bCs/>
          <w:snapToGrid w:val="0"/>
          <w:color w:val="auto"/>
          <w:kern w:val="0"/>
          <w:szCs w:val="23"/>
          <w:highlight w:val="none"/>
          <w:shd w:val="clear" w:color="auto" w:fill="FFFFFF"/>
        </w:rPr>
        <w:t>力量。</w:t>
      </w:r>
    </w:p>
    <w:p>
      <w:pPr>
        <w:pStyle w:val="3"/>
        <w:numPr>
          <w:ilvl w:val="0"/>
          <w:numId w:val="3"/>
        </w:numPr>
        <w:ind w:left="0" w:leftChars="0" w:firstLine="640" w:firstLineChars="200"/>
        <w:rPr>
          <w:rFonts w:hint="eastAsia"/>
          <w:color w:val="auto"/>
          <w:highlight w:val="none"/>
          <w:lang w:val="en-US" w:eastAsia="zh-CN"/>
        </w:rPr>
      </w:pPr>
      <w:bookmarkStart w:id="51" w:name="_Toc1628"/>
      <w:bookmarkStart w:id="52" w:name="_Toc139"/>
      <w:bookmarkStart w:id="53" w:name="_Toc17390"/>
      <w:r>
        <w:rPr>
          <w:rFonts w:hint="eastAsia"/>
          <w:color w:val="auto"/>
          <w:highlight w:val="none"/>
          <w:lang w:val="en-US" w:eastAsia="zh-CN"/>
        </w:rPr>
        <w:t>基本原则</w:t>
      </w:r>
      <w:bookmarkEnd w:id="51"/>
      <w:bookmarkEnd w:id="52"/>
      <w:bookmarkEnd w:id="53"/>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bookmarkStart w:id="54" w:name="OLE_LINK2"/>
      <w:bookmarkStart w:id="55" w:name="_Toc3596"/>
      <w:bookmarkStart w:id="56" w:name="_Toc27410"/>
      <w:r>
        <w:rPr>
          <w:rFonts w:hint="default" w:ascii="Times New Roman" w:hAnsi="Times New Roman" w:cs="Arial"/>
          <w:b/>
          <w:bCs w:val="0"/>
          <w:snapToGrid w:val="0"/>
          <w:color w:val="auto"/>
          <w:kern w:val="0"/>
          <w:szCs w:val="23"/>
          <w:highlight w:val="none"/>
          <w:shd w:val="clear" w:color="auto" w:fill="FFFFFF"/>
        </w:rPr>
        <w:t>底线思维，安全发展</w:t>
      </w:r>
      <w:bookmarkEnd w:id="54"/>
      <w:bookmarkEnd w:id="55"/>
      <w:bookmarkStart w:id="57" w:name="OLE_LINK3"/>
      <w:r>
        <w:rPr>
          <w:rFonts w:hint="eastAsia" w:ascii="Times New Roman" w:hAnsi="Times New Roman" w:cs="Arial"/>
          <w:b/>
          <w:bCs w:val="0"/>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加快完善多元化能源供给</w:t>
      </w:r>
      <w:r>
        <w:rPr>
          <w:rFonts w:hint="default" w:ascii="Times New Roman" w:hAnsi="Times New Roman" w:cs="Arial"/>
          <w:bCs/>
          <w:snapToGrid w:val="0"/>
          <w:color w:val="auto"/>
          <w:kern w:val="0"/>
          <w:szCs w:val="23"/>
          <w:highlight w:val="none"/>
          <w:shd w:val="clear" w:color="auto" w:fill="FFFFFF"/>
          <w:lang w:val="en-US" w:eastAsia="zh-CN"/>
        </w:rPr>
        <w:t>安全</w:t>
      </w:r>
      <w:r>
        <w:rPr>
          <w:rFonts w:hint="default" w:ascii="Times New Roman" w:hAnsi="Times New Roman" w:cs="Arial"/>
          <w:bCs/>
          <w:snapToGrid w:val="0"/>
          <w:color w:val="auto"/>
          <w:kern w:val="0"/>
          <w:szCs w:val="23"/>
          <w:highlight w:val="none"/>
          <w:shd w:val="clear" w:color="auto" w:fill="FFFFFF"/>
        </w:rPr>
        <w:t>保障体系</w:t>
      </w:r>
      <w:r>
        <w:rPr>
          <w:rFonts w:hint="default"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推进能源区域合作，拓展能源供给渠道，加强能源基础设施网络及调峰设施建设，加强风险防范应对，夯实能源安全基础。</w:t>
      </w:r>
      <w:bookmarkEnd w:id="57"/>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bookmarkStart w:id="58" w:name="OLE_LINK4"/>
      <w:r>
        <w:rPr>
          <w:rFonts w:hint="default" w:ascii="Times New Roman" w:hAnsi="Times New Roman" w:cs="Arial"/>
          <w:b/>
          <w:bCs w:val="0"/>
          <w:snapToGrid w:val="0"/>
          <w:color w:val="auto"/>
          <w:kern w:val="0"/>
          <w:szCs w:val="23"/>
          <w:highlight w:val="none"/>
          <w:shd w:val="clear" w:color="auto" w:fill="FFFFFF"/>
          <w:lang w:val="en-US" w:eastAsia="zh-CN"/>
        </w:rPr>
        <w:t>技术革命，创新发展</w:t>
      </w:r>
      <w:r>
        <w:rPr>
          <w:rFonts w:hint="eastAsia" w:ascii="Times New Roman" w:hAnsi="Times New Roman" w:cs="Arial"/>
          <w:b/>
          <w:bCs w:val="0"/>
          <w:snapToGrid w:val="0"/>
          <w:color w:val="auto"/>
          <w:kern w:val="0"/>
          <w:szCs w:val="23"/>
          <w:highlight w:val="none"/>
          <w:shd w:val="clear" w:color="auto" w:fill="FFFFFF"/>
          <w:lang w:val="en-US" w:eastAsia="zh-CN"/>
        </w:rPr>
        <w:t>。</w:t>
      </w:r>
      <w:bookmarkEnd w:id="58"/>
      <w:r>
        <w:rPr>
          <w:rFonts w:hint="default" w:ascii="Times New Roman" w:hAnsi="Times New Roman" w:cs="Arial"/>
          <w:bCs/>
          <w:snapToGrid w:val="0"/>
          <w:color w:val="auto"/>
          <w:kern w:val="0"/>
          <w:szCs w:val="23"/>
          <w:highlight w:val="none"/>
          <w:shd w:val="clear" w:color="auto" w:fill="FFFFFF"/>
        </w:rPr>
        <w:t>充分发挥科技创新引领作用，加快能源新技术推广应用和关键核心技术攻关，着力推动技术创新、产业创新、商业模式创新，提升能源技术水平和产业竞争力。构建智慧能源系统，推动能源与信息技术深度融合，</w:t>
      </w:r>
      <w:r>
        <w:rPr>
          <w:rFonts w:hint="default" w:ascii="Times New Roman" w:hAnsi="Times New Roman" w:cs="Arial"/>
          <w:bCs/>
          <w:snapToGrid w:val="0"/>
          <w:color w:val="auto"/>
          <w:kern w:val="0"/>
          <w:szCs w:val="23"/>
          <w:highlight w:val="none"/>
          <w:shd w:val="clear" w:color="auto" w:fill="FFFFFF"/>
          <w:lang w:val="en-US" w:eastAsia="zh-CN"/>
        </w:rPr>
        <w:t>推进源网荷储一体化创新发展</w:t>
      </w:r>
      <w:r>
        <w:rPr>
          <w:rFonts w:hint="default" w:ascii="Times New Roman" w:hAnsi="Times New Roman" w:cs="Arial"/>
          <w:bCs/>
          <w:snapToGrid w:val="0"/>
          <w:color w:val="auto"/>
          <w:kern w:val="0"/>
          <w:szCs w:val="23"/>
          <w:highlight w:val="none"/>
          <w:shd w:val="clear" w:color="auto" w:fill="FFFFFF"/>
        </w:rPr>
        <w:t>。</w:t>
      </w:r>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bookmarkStart w:id="59" w:name="_Toc21213"/>
      <w:r>
        <w:rPr>
          <w:rFonts w:hint="default" w:ascii="Times New Roman" w:hAnsi="Times New Roman" w:cs="Arial"/>
          <w:b/>
          <w:bCs w:val="0"/>
          <w:snapToGrid w:val="0"/>
          <w:color w:val="auto"/>
          <w:kern w:val="0"/>
          <w:szCs w:val="23"/>
          <w:highlight w:val="none"/>
          <w:shd w:val="clear" w:color="auto" w:fill="FFFFFF"/>
        </w:rPr>
        <w:t>系统谋划，协调发展</w:t>
      </w:r>
      <w:bookmarkEnd w:id="59"/>
      <w:r>
        <w:rPr>
          <w:rFonts w:hint="eastAsia" w:ascii="Times New Roman" w:hAnsi="Times New Roman" w:cs="Arial"/>
          <w:b/>
          <w:bCs w:val="0"/>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统筹资源实际、要素保障和基础设施建设，优化清洁能源空间开发布局，强化资源要素集聚，适度超前规划与建设，构建品种多元、多能互补、协同发展的清洁能源供应体系。积极拓展清洁能源应用场景，统筹市场改革和保障供应的关系，实现能源与经济社会协调发展。</w:t>
      </w:r>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r>
        <w:rPr>
          <w:rFonts w:hint="default" w:ascii="Times New Roman" w:hAnsi="Times New Roman" w:cs="Arial"/>
          <w:b/>
          <w:bCs w:val="0"/>
          <w:snapToGrid w:val="0"/>
          <w:color w:val="auto"/>
          <w:kern w:val="0"/>
          <w:szCs w:val="23"/>
          <w:highlight w:val="none"/>
          <w:shd w:val="clear" w:color="auto" w:fill="FFFFFF"/>
        </w:rPr>
        <w:t>清洁低碳，绿色发展</w:t>
      </w:r>
      <w:bookmarkEnd w:id="56"/>
      <w:r>
        <w:rPr>
          <w:rFonts w:hint="eastAsia" w:ascii="Times New Roman" w:hAnsi="Times New Roman" w:cs="Arial"/>
          <w:b/>
          <w:bCs w:val="0"/>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有序开发可再生能源，加强天然气</w:t>
      </w:r>
      <w:r>
        <w:rPr>
          <w:rFonts w:hint="default" w:ascii="Times New Roman" w:hAnsi="Times New Roman" w:cs="Arial"/>
          <w:bCs/>
          <w:snapToGrid w:val="0"/>
          <w:color w:val="auto"/>
          <w:kern w:val="0"/>
          <w:szCs w:val="23"/>
          <w:highlight w:val="none"/>
          <w:shd w:val="clear" w:color="auto" w:fill="FFFFFF"/>
          <w:lang w:val="en-US" w:eastAsia="zh-CN"/>
        </w:rPr>
        <w:t>有效利用</w:t>
      </w:r>
      <w:r>
        <w:rPr>
          <w:rFonts w:hint="default" w:ascii="Times New Roman" w:hAnsi="Times New Roman" w:cs="Arial"/>
          <w:bCs/>
          <w:snapToGrid w:val="0"/>
          <w:color w:val="auto"/>
          <w:kern w:val="0"/>
          <w:szCs w:val="23"/>
          <w:highlight w:val="none"/>
          <w:shd w:val="clear" w:color="auto" w:fill="FFFFFF"/>
        </w:rPr>
        <w:t>，优化能源消费结构，实现能源</w:t>
      </w:r>
      <w:r>
        <w:rPr>
          <w:rFonts w:hint="default" w:ascii="Times New Roman" w:hAnsi="Times New Roman" w:cs="Arial"/>
          <w:bCs/>
          <w:snapToGrid w:val="0"/>
          <w:color w:val="auto"/>
          <w:kern w:val="0"/>
          <w:szCs w:val="23"/>
          <w:highlight w:val="none"/>
          <w:shd w:val="clear" w:color="auto" w:fill="FFFFFF"/>
          <w:lang w:val="en-US" w:eastAsia="zh-CN"/>
        </w:rPr>
        <w:t>绿色</w:t>
      </w:r>
      <w:r>
        <w:rPr>
          <w:rFonts w:hint="default" w:ascii="Times New Roman" w:hAnsi="Times New Roman" w:cs="Arial"/>
          <w:bCs/>
          <w:snapToGrid w:val="0"/>
          <w:color w:val="auto"/>
          <w:kern w:val="0"/>
          <w:szCs w:val="23"/>
          <w:highlight w:val="none"/>
          <w:shd w:val="clear" w:color="auto" w:fill="FFFFFF"/>
        </w:rPr>
        <w:t>清洁低碳转型，提高能源生产效率和经济社会综合效益，实现能源发展和生态保护共赢。</w:t>
      </w:r>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bookmarkStart w:id="60" w:name="_Toc24124"/>
      <w:bookmarkStart w:id="61" w:name="OLE_LINK5"/>
      <w:r>
        <w:rPr>
          <w:rFonts w:hint="default" w:ascii="Times New Roman" w:hAnsi="Times New Roman" w:cs="Arial"/>
          <w:b/>
          <w:bCs w:val="0"/>
          <w:snapToGrid w:val="0"/>
          <w:color w:val="auto"/>
          <w:kern w:val="0"/>
          <w:szCs w:val="23"/>
          <w:highlight w:val="none"/>
          <w:shd w:val="clear" w:color="auto" w:fill="FFFFFF"/>
        </w:rPr>
        <w:t>服务民生，共享发展</w:t>
      </w:r>
      <w:bookmarkEnd w:id="60"/>
      <w:r>
        <w:rPr>
          <w:rFonts w:hint="eastAsia" w:ascii="Times New Roman" w:hAnsi="Times New Roman" w:cs="Arial"/>
          <w:b/>
          <w:bCs w:val="0"/>
          <w:snapToGrid w:val="0"/>
          <w:color w:val="auto"/>
          <w:kern w:val="0"/>
          <w:szCs w:val="23"/>
          <w:highlight w:val="none"/>
          <w:shd w:val="clear" w:color="auto" w:fill="FFFFFF"/>
          <w:lang w:eastAsia="zh-CN"/>
        </w:rPr>
        <w:t>。</w:t>
      </w:r>
      <w:bookmarkEnd w:id="61"/>
      <w:r>
        <w:rPr>
          <w:rFonts w:hint="default" w:ascii="Times New Roman" w:hAnsi="Times New Roman" w:cs="Arial"/>
          <w:bCs/>
          <w:snapToGrid w:val="0"/>
          <w:color w:val="auto"/>
          <w:kern w:val="0"/>
          <w:szCs w:val="23"/>
          <w:highlight w:val="none"/>
          <w:shd w:val="clear" w:color="auto" w:fill="FFFFFF"/>
        </w:rPr>
        <w:t>加快推进清洁能源惠民利民，补齐城乡能源基础设施短板，强化民生领域用能保障，推进能源基础设施和公共服务保障能力建设</w:t>
      </w:r>
      <w:r>
        <w:rPr>
          <w:rFonts w:hint="default"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优化用能营商环境，提升民生相关能源服务水平，满足人民群众对电力、天然气等清洁能源的需求，让人民共享能源高质量发展红利。</w:t>
      </w:r>
    </w:p>
    <w:p>
      <w:pPr>
        <w:pStyle w:val="3"/>
        <w:numPr>
          <w:ilvl w:val="0"/>
          <w:numId w:val="3"/>
        </w:numPr>
        <w:ind w:left="0" w:leftChars="0" w:firstLine="640" w:firstLineChars="200"/>
        <w:rPr>
          <w:rFonts w:hint="eastAsia"/>
          <w:color w:val="auto"/>
          <w:highlight w:val="none"/>
          <w:lang w:val="en-US" w:eastAsia="zh-CN"/>
        </w:rPr>
      </w:pPr>
      <w:bookmarkStart w:id="62" w:name="_Toc26864"/>
      <w:bookmarkStart w:id="63" w:name="_Toc17011"/>
      <w:bookmarkStart w:id="64" w:name="_Toc14210"/>
      <w:r>
        <w:rPr>
          <w:rFonts w:hint="eastAsia"/>
          <w:color w:val="auto"/>
          <w:highlight w:val="none"/>
          <w:lang w:val="en-US" w:eastAsia="zh-CN"/>
        </w:rPr>
        <w:t>发展目标</w:t>
      </w:r>
      <w:bookmarkEnd w:id="62"/>
      <w:bookmarkEnd w:id="63"/>
      <w:bookmarkEnd w:id="64"/>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r>
        <w:rPr>
          <w:rFonts w:hint="default" w:ascii="Times New Roman" w:hAnsi="Times New Roman" w:cs="Arial"/>
          <w:bCs/>
          <w:snapToGrid w:val="0"/>
          <w:color w:val="auto"/>
          <w:kern w:val="0"/>
          <w:szCs w:val="23"/>
          <w:highlight w:val="none"/>
          <w:shd w:val="clear" w:color="auto" w:fill="FFFFFF"/>
        </w:rPr>
        <w:t>新型电力系统建设取得实质成效。</w:t>
      </w:r>
      <w:r>
        <w:rPr>
          <w:rFonts w:hint="default" w:ascii="Times New Roman" w:hAnsi="Times New Roman" w:cs="Arial"/>
          <w:bCs/>
          <w:snapToGrid w:val="0"/>
          <w:color w:val="auto"/>
          <w:kern w:val="0"/>
          <w:szCs w:val="23"/>
          <w:highlight w:val="none"/>
          <w:shd w:val="clear" w:color="auto" w:fill="FFFFFF"/>
          <w:lang w:val="en-US" w:eastAsia="zh-CN"/>
        </w:rPr>
        <w:t>至203</w:t>
      </w:r>
      <w:r>
        <w:rPr>
          <w:rFonts w:hint="eastAsia" w:ascii="Times New Roman" w:hAnsi="Times New Roman" w:cs="Arial"/>
          <w:bCs/>
          <w:snapToGrid w:val="0"/>
          <w:color w:val="auto"/>
          <w:kern w:val="0"/>
          <w:szCs w:val="23"/>
          <w:highlight w:val="none"/>
          <w:shd w:val="clear" w:color="auto" w:fill="FFFFFF"/>
          <w:lang w:val="en-US" w:eastAsia="zh-CN"/>
        </w:rPr>
        <w:t>0</w:t>
      </w:r>
      <w:r>
        <w:rPr>
          <w:rFonts w:hint="default" w:ascii="Times New Roman" w:hAnsi="Times New Roman" w:cs="Arial"/>
          <w:bCs/>
          <w:snapToGrid w:val="0"/>
          <w:color w:val="auto"/>
          <w:kern w:val="0"/>
          <w:szCs w:val="23"/>
          <w:highlight w:val="none"/>
          <w:shd w:val="clear" w:color="auto" w:fill="FFFFFF"/>
          <w:lang w:val="en-US" w:eastAsia="zh-CN"/>
        </w:rPr>
        <w:t>年，</w:t>
      </w:r>
      <w:r>
        <w:rPr>
          <w:rFonts w:hint="default" w:ascii="Times New Roman" w:hAnsi="Times New Roman" w:cs="Arial"/>
          <w:bCs/>
          <w:snapToGrid w:val="0"/>
          <w:color w:val="auto"/>
          <w:kern w:val="0"/>
          <w:szCs w:val="23"/>
          <w:highlight w:val="none"/>
          <w:shd w:val="clear" w:color="auto" w:fill="FFFFFF"/>
        </w:rPr>
        <w:t>电力总装机达到</w:t>
      </w:r>
      <w:r>
        <w:rPr>
          <w:rFonts w:hint="eastAsia" w:ascii="Times New Roman" w:hAnsi="Times New Roman" w:cs="Arial"/>
          <w:bCs/>
          <w:snapToGrid w:val="0"/>
          <w:color w:val="auto"/>
          <w:kern w:val="0"/>
          <w:szCs w:val="23"/>
          <w:highlight w:val="none"/>
          <w:shd w:val="clear" w:color="auto" w:fill="FFFFFF"/>
          <w:lang w:val="en-US" w:eastAsia="zh-CN"/>
        </w:rPr>
        <w:t>840</w:t>
      </w:r>
      <w:r>
        <w:rPr>
          <w:rFonts w:hint="default" w:ascii="Times New Roman" w:hAnsi="Times New Roman" w:cs="Arial"/>
          <w:bCs/>
          <w:snapToGrid w:val="0"/>
          <w:color w:val="auto"/>
          <w:kern w:val="0"/>
          <w:szCs w:val="23"/>
          <w:highlight w:val="none"/>
          <w:shd w:val="clear" w:color="auto" w:fill="FFFFFF"/>
        </w:rPr>
        <w:t>万千瓦以上，清洁能源装机占比</w:t>
      </w:r>
      <w:r>
        <w:rPr>
          <w:rFonts w:hint="eastAsia" w:ascii="Times New Roman" w:hAnsi="Times New Roman" w:cs="Arial"/>
          <w:bCs/>
          <w:snapToGrid w:val="0"/>
          <w:color w:val="auto"/>
          <w:kern w:val="0"/>
          <w:szCs w:val="23"/>
          <w:highlight w:val="none"/>
          <w:shd w:val="clear" w:color="auto" w:fill="FFFFFF"/>
          <w:lang w:val="en-US" w:eastAsia="zh-CN"/>
        </w:rPr>
        <w:t>超过25</w:t>
      </w:r>
      <w:r>
        <w:rPr>
          <w:rFonts w:hint="default" w:ascii="Times New Roman" w:hAnsi="Times New Roman" w:cs="Arial"/>
          <w:bCs/>
          <w:snapToGrid w:val="0"/>
          <w:color w:val="auto"/>
          <w:kern w:val="0"/>
          <w:szCs w:val="23"/>
          <w:highlight w:val="none"/>
          <w:shd w:val="clear" w:color="auto" w:fill="FFFFFF"/>
        </w:rPr>
        <w:t>%，</w:t>
      </w:r>
      <w:r>
        <w:rPr>
          <w:rFonts w:hint="eastAsia" w:ascii="Times New Roman" w:hAnsi="Times New Roman" w:cs="Arial"/>
          <w:bCs/>
          <w:snapToGrid w:val="0"/>
          <w:color w:val="auto"/>
          <w:kern w:val="0"/>
          <w:szCs w:val="23"/>
          <w:highlight w:val="none"/>
          <w:shd w:val="clear" w:color="auto" w:fill="FFFFFF"/>
          <w:lang w:val="en-US" w:eastAsia="zh-CN"/>
        </w:rPr>
        <w:t>总</w:t>
      </w:r>
      <w:r>
        <w:rPr>
          <w:rFonts w:hint="default" w:ascii="Times New Roman" w:hAnsi="Times New Roman" w:cs="Arial"/>
          <w:bCs/>
          <w:snapToGrid w:val="0"/>
          <w:color w:val="auto"/>
          <w:kern w:val="0"/>
          <w:szCs w:val="23"/>
          <w:highlight w:val="none"/>
          <w:shd w:val="clear" w:color="auto" w:fill="FFFFFF"/>
        </w:rPr>
        <w:t>发电量达到</w:t>
      </w:r>
      <w:r>
        <w:rPr>
          <w:rFonts w:hint="eastAsia" w:ascii="Times New Roman" w:hAnsi="Times New Roman" w:cs="Arial"/>
          <w:bCs/>
          <w:snapToGrid w:val="0"/>
          <w:color w:val="auto"/>
          <w:kern w:val="0"/>
          <w:szCs w:val="23"/>
          <w:highlight w:val="none"/>
          <w:shd w:val="clear" w:color="auto" w:fill="FFFFFF"/>
          <w:lang w:val="en-US" w:eastAsia="zh-CN"/>
        </w:rPr>
        <w:t>230</w:t>
      </w:r>
      <w:r>
        <w:rPr>
          <w:rFonts w:hint="default" w:ascii="Times New Roman" w:hAnsi="Times New Roman" w:cs="Arial"/>
          <w:bCs/>
          <w:snapToGrid w:val="0"/>
          <w:color w:val="auto"/>
          <w:kern w:val="0"/>
          <w:szCs w:val="23"/>
          <w:highlight w:val="none"/>
          <w:shd w:val="clear" w:color="auto" w:fill="FFFFFF"/>
        </w:rPr>
        <w:t>亿千瓦时。电网资源配置能力进一步提升</w:t>
      </w:r>
      <w:r>
        <w:rPr>
          <w:rFonts w:hint="default"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主网网架结构进一步优化</w:t>
      </w:r>
      <w:r>
        <w:rPr>
          <w:rFonts w:hint="default"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安全高效、清洁低碳、柔性灵活、智慧融合新型配电网系统加速推进。电力系统灵活调节能力大幅提升，新型储能多应用场景规模化发展、多种技术路线并存，装机规模达</w:t>
      </w:r>
      <w:r>
        <w:rPr>
          <w:rFonts w:hint="eastAsia" w:ascii="Times New Roman" w:hAnsi="Times New Roman" w:cs="Arial"/>
          <w:bCs/>
          <w:snapToGrid w:val="0"/>
          <w:color w:val="auto"/>
          <w:kern w:val="0"/>
          <w:szCs w:val="23"/>
          <w:highlight w:val="none"/>
          <w:shd w:val="clear" w:color="auto" w:fill="FFFFFF"/>
          <w:lang w:val="en-US" w:eastAsia="zh-CN"/>
        </w:rPr>
        <w:t>30</w:t>
      </w:r>
      <w:r>
        <w:rPr>
          <w:rFonts w:hint="default" w:ascii="Times New Roman" w:hAnsi="Times New Roman" w:cs="Arial"/>
          <w:bCs/>
          <w:snapToGrid w:val="0"/>
          <w:color w:val="auto"/>
          <w:kern w:val="0"/>
          <w:szCs w:val="23"/>
          <w:highlight w:val="none"/>
          <w:shd w:val="clear" w:color="auto" w:fill="FFFFFF"/>
        </w:rPr>
        <w:t>万千瓦。分散化需求响应资源进一步整合。</w:t>
      </w:r>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r>
        <w:rPr>
          <w:rFonts w:hint="default" w:ascii="Times New Roman" w:hAnsi="Times New Roman" w:cs="Arial"/>
          <w:bCs/>
          <w:snapToGrid w:val="0"/>
          <w:color w:val="auto"/>
          <w:kern w:val="0"/>
          <w:szCs w:val="23"/>
          <w:highlight w:val="none"/>
          <w:shd w:val="clear" w:color="auto" w:fill="FFFFFF"/>
        </w:rPr>
        <w:t>能源保障更加安全有力。</w:t>
      </w:r>
      <w:r>
        <w:rPr>
          <w:rFonts w:hint="default" w:ascii="Times New Roman" w:hAnsi="Times New Roman" w:cs="Arial"/>
          <w:bCs/>
          <w:snapToGrid w:val="0"/>
          <w:color w:val="auto"/>
          <w:kern w:val="0"/>
          <w:szCs w:val="23"/>
          <w:highlight w:val="none"/>
          <w:shd w:val="clear" w:color="auto" w:fill="FFFFFF"/>
          <w:lang w:val="en-US" w:eastAsia="zh-CN"/>
        </w:rPr>
        <w:t>至203</w:t>
      </w:r>
      <w:r>
        <w:rPr>
          <w:rFonts w:hint="eastAsia" w:ascii="Times New Roman" w:hAnsi="Times New Roman" w:cs="Arial"/>
          <w:bCs/>
          <w:snapToGrid w:val="0"/>
          <w:color w:val="auto"/>
          <w:kern w:val="0"/>
          <w:szCs w:val="23"/>
          <w:highlight w:val="none"/>
          <w:shd w:val="clear" w:color="auto" w:fill="FFFFFF"/>
          <w:lang w:val="en-US" w:eastAsia="zh-CN"/>
        </w:rPr>
        <w:t>0</w:t>
      </w:r>
      <w:r>
        <w:rPr>
          <w:rFonts w:hint="default" w:ascii="Times New Roman" w:hAnsi="Times New Roman" w:cs="Arial"/>
          <w:bCs/>
          <w:snapToGrid w:val="0"/>
          <w:color w:val="auto"/>
          <w:kern w:val="0"/>
          <w:szCs w:val="23"/>
          <w:highlight w:val="none"/>
          <w:shd w:val="clear" w:color="auto" w:fill="FFFFFF"/>
          <w:lang w:val="en-US" w:eastAsia="zh-CN"/>
        </w:rPr>
        <w:t>年，</w:t>
      </w:r>
      <w:r>
        <w:rPr>
          <w:rFonts w:hint="default" w:ascii="Times New Roman" w:hAnsi="Times New Roman" w:cs="Arial"/>
          <w:bCs/>
          <w:snapToGrid w:val="0"/>
          <w:color w:val="auto"/>
          <w:kern w:val="0"/>
          <w:szCs w:val="23"/>
          <w:highlight w:val="none"/>
          <w:shd w:val="clear" w:color="auto" w:fill="FFFFFF"/>
        </w:rPr>
        <w:t>煤炭储备能力达到</w:t>
      </w:r>
      <w:r>
        <w:rPr>
          <w:rFonts w:hint="eastAsia" w:ascii="Times New Roman" w:hAnsi="Times New Roman" w:cs="Arial"/>
          <w:bCs/>
          <w:snapToGrid w:val="0"/>
          <w:color w:val="auto"/>
          <w:kern w:val="0"/>
          <w:szCs w:val="23"/>
          <w:highlight w:val="none"/>
          <w:shd w:val="clear" w:color="auto" w:fill="FFFFFF"/>
          <w:lang w:val="en-US" w:eastAsia="zh-CN"/>
        </w:rPr>
        <w:t>100</w:t>
      </w:r>
      <w:r>
        <w:rPr>
          <w:rFonts w:hint="default" w:ascii="Times New Roman" w:hAnsi="Times New Roman" w:cs="Arial"/>
          <w:bCs/>
          <w:snapToGrid w:val="0"/>
          <w:color w:val="auto"/>
          <w:kern w:val="0"/>
          <w:szCs w:val="23"/>
          <w:highlight w:val="none"/>
          <w:shd w:val="clear" w:color="auto" w:fill="FFFFFF"/>
        </w:rPr>
        <w:t>万吨，天然气储备能力达到</w:t>
      </w:r>
      <w:r>
        <w:rPr>
          <w:rFonts w:hint="eastAsia" w:ascii="Times New Roman" w:hAnsi="Times New Roman" w:cs="Arial"/>
          <w:bCs/>
          <w:snapToGrid w:val="0"/>
          <w:color w:val="auto"/>
          <w:kern w:val="0"/>
          <w:szCs w:val="23"/>
          <w:highlight w:val="none"/>
          <w:shd w:val="clear" w:color="auto" w:fill="FFFFFF"/>
          <w:lang w:val="en-US" w:eastAsia="zh-CN"/>
        </w:rPr>
        <w:t>720</w:t>
      </w:r>
      <w:r>
        <w:rPr>
          <w:rFonts w:hint="default" w:ascii="Times New Roman" w:hAnsi="Times New Roman" w:cs="Arial"/>
          <w:bCs/>
          <w:snapToGrid w:val="0"/>
          <w:color w:val="auto"/>
          <w:kern w:val="0"/>
          <w:szCs w:val="23"/>
          <w:highlight w:val="none"/>
          <w:shd w:val="clear" w:color="auto" w:fill="FFFFFF"/>
          <w:lang w:val="en-US" w:eastAsia="zh-CN"/>
        </w:rPr>
        <w:t>万</w:t>
      </w:r>
      <w:r>
        <w:rPr>
          <w:rFonts w:hint="default" w:ascii="Times New Roman" w:hAnsi="Times New Roman" w:cs="Arial"/>
          <w:bCs/>
          <w:snapToGrid w:val="0"/>
          <w:color w:val="auto"/>
          <w:kern w:val="0"/>
          <w:szCs w:val="23"/>
          <w:highlight w:val="none"/>
          <w:shd w:val="clear" w:color="auto" w:fill="FFFFFF"/>
        </w:rPr>
        <w:t>立方米，天然气管网覆盖范围进一步扩大，实现天然气</w:t>
      </w:r>
      <w:r>
        <w:rPr>
          <w:rFonts w:hint="eastAsia"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区域一张网</w:t>
      </w:r>
      <w:r>
        <w:rPr>
          <w:rFonts w:hint="eastAsia"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供气网络全覆盖。城乡供能基础设施均衡发展，乡村清洁能源供应能力不断增强，城乡供电质量</w:t>
      </w:r>
      <w:r>
        <w:rPr>
          <w:rFonts w:hint="default" w:ascii="Times New Roman" w:hAnsi="Times New Roman" w:cs="Arial"/>
          <w:bCs/>
          <w:snapToGrid w:val="0"/>
          <w:color w:val="auto"/>
          <w:kern w:val="0"/>
          <w:szCs w:val="23"/>
          <w:highlight w:val="none"/>
          <w:shd w:val="clear" w:color="auto" w:fill="FFFFFF"/>
          <w:lang w:val="en-US" w:eastAsia="zh-CN"/>
        </w:rPr>
        <w:t>进一步提升</w:t>
      </w:r>
      <w:r>
        <w:rPr>
          <w:rFonts w:hint="default" w:ascii="Times New Roman" w:hAnsi="Times New Roman" w:cs="Arial"/>
          <w:bCs/>
          <w:snapToGrid w:val="0"/>
          <w:color w:val="auto"/>
          <w:kern w:val="0"/>
          <w:szCs w:val="23"/>
          <w:highlight w:val="none"/>
          <w:shd w:val="clear" w:color="auto" w:fill="FFFFFF"/>
        </w:rPr>
        <w:t>，全</w:t>
      </w:r>
      <w:r>
        <w:rPr>
          <w:rFonts w:hint="default" w:ascii="Times New Roman" w:hAnsi="Times New Roman" w:cs="Arial"/>
          <w:bCs/>
          <w:snapToGrid w:val="0"/>
          <w:color w:val="auto"/>
          <w:kern w:val="0"/>
          <w:szCs w:val="23"/>
          <w:highlight w:val="none"/>
          <w:shd w:val="clear" w:color="auto" w:fill="FFFFFF"/>
          <w:lang w:val="en-US" w:eastAsia="zh-CN"/>
        </w:rPr>
        <w:t>市</w:t>
      </w:r>
      <w:r>
        <w:rPr>
          <w:rFonts w:hint="default" w:ascii="Times New Roman" w:hAnsi="Times New Roman" w:cs="Arial"/>
          <w:bCs/>
          <w:snapToGrid w:val="0"/>
          <w:color w:val="auto"/>
          <w:kern w:val="0"/>
          <w:szCs w:val="23"/>
          <w:highlight w:val="none"/>
          <w:shd w:val="clear" w:color="auto" w:fill="FFFFFF"/>
        </w:rPr>
        <w:t>城乡供电可靠率</w:t>
      </w:r>
      <w:r>
        <w:rPr>
          <w:rFonts w:hint="eastAsia" w:ascii="Times New Roman" w:hAnsi="Times New Roman" w:cs="Arial"/>
          <w:bCs/>
          <w:snapToGrid w:val="0"/>
          <w:color w:val="auto"/>
          <w:kern w:val="0"/>
          <w:szCs w:val="23"/>
          <w:highlight w:val="none"/>
          <w:shd w:val="clear" w:color="auto" w:fill="FFFFFF"/>
          <w:lang w:val="en-US" w:eastAsia="zh-CN"/>
        </w:rPr>
        <w:t>进一步突破，打造“5个9”（99.999%）示范区域</w:t>
      </w:r>
      <w:r>
        <w:rPr>
          <w:rFonts w:hint="default" w:ascii="Times New Roman" w:hAnsi="Times New Roman" w:cs="Arial"/>
          <w:bCs/>
          <w:snapToGrid w:val="0"/>
          <w:color w:val="auto"/>
          <w:kern w:val="0"/>
          <w:szCs w:val="23"/>
          <w:highlight w:val="none"/>
          <w:shd w:val="clear" w:color="auto" w:fill="FFFFFF"/>
        </w:rPr>
        <w:t>。</w:t>
      </w:r>
    </w:p>
    <w:p>
      <w:pPr>
        <w:keepNext w:val="0"/>
        <w:keepLines w:val="0"/>
        <w:pageBreakBefore w:val="0"/>
        <w:widowControl/>
        <w:shd w:val="clear" w:color="auto" w:fill="FFFFFF"/>
        <w:kinsoku/>
        <w:wordWrap/>
        <w:overflowPunct/>
        <w:topLinePunct w:val="0"/>
        <w:bidi w:val="0"/>
        <w:ind w:firstLine="640"/>
        <w:jc w:val="left"/>
        <w:rPr>
          <w:rFonts w:hint="default" w:ascii="Times New Roman" w:hAnsi="Times New Roman" w:cs="Arial"/>
          <w:bCs/>
          <w:snapToGrid w:val="0"/>
          <w:color w:val="auto"/>
          <w:kern w:val="0"/>
          <w:szCs w:val="23"/>
          <w:highlight w:val="none"/>
          <w:shd w:val="clear" w:color="auto" w:fill="FFFFFF"/>
        </w:rPr>
      </w:pPr>
      <w:r>
        <w:rPr>
          <w:rFonts w:hint="default" w:ascii="Times New Roman" w:hAnsi="Times New Roman" w:cs="Arial"/>
          <w:bCs/>
          <w:snapToGrid w:val="0"/>
          <w:color w:val="auto"/>
          <w:kern w:val="0"/>
          <w:szCs w:val="23"/>
          <w:highlight w:val="none"/>
          <w:shd w:val="clear" w:color="auto" w:fill="FFFFFF"/>
        </w:rPr>
        <w:t>能源</w:t>
      </w:r>
      <w:r>
        <w:rPr>
          <w:rFonts w:hint="eastAsia" w:ascii="Times New Roman" w:hAnsi="Times New Roman" w:cs="Arial"/>
          <w:bCs/>
          <w:snapToGrid w:val="0"/>
          <w:color w:val="auto"/>
          <w:kern w:val="0"/>
          <w:szCs w:val="23"/>
          <w:highlight w:val="none"/>
          <w:shd w:val="clear" w:color="auto" w:fill="FFFFFF"/>
          <w:lang w:val="en-US" w:eastAsia="zh-CN"/>
        </w:rPr>
        <w:t>绿色低碳</w:t>
      </w:r>
      <w:r>
        <w:rPr>
          <w:rFonts w:hint="default" w:ascii="Times New Roman" w:hAnsi="Times New Roman" w:cs="Arial"/>
          <w:bCs/>
          <w:snapToGrid w:val="0"/>
          <w:color w:val="auto"/>
          <w:kern w:val="0"/>
          <w:szCs w:val="23"/>
          <w:highlight w:val="none"/>
          <w:shd w:val="clear" w:color="auto" w:fill="FFFFFF"/>
        </w:rPr>
        <w:t>逐步形成。</w:t>
      </w:r>
      <w:r>
        <w:rPr>
          <w:rFonts w:hint="default" w:ascii="Times New Roman" w:hAnsi="Times New Roman" w:cs="Arial"/>
          <w:bCs/>
          <w:snapToGrid w:val="0"/>
          <w:color w:val="auto"/>
          <w:kern w:val="0"/>
          <w:szCs w:val="23"/>
          <w:highlight w:val="none"/>
          <w:shd w:val="clear" w:color="auto" w:fill="FFFFFF"/>
          <w:lang w:val="en-US" w:eastAsia="zh-CN"/>
        </w:rPr>
        <w:t>至203</w:t>
      </w:r>
      <w:r>
        <w:rPr>
          <w:rFonts w:hint="eastAsia" w:ascii="Times New Roman" w:hAnsi="Times New Roman" w:cs="Arial"/>
          <w:bCs/>
          <w:snapToGrid w:val="0"/>
          <w:color w:val="auto"/>
          <w:kern w:val="0"/>
          <w:szCs w:val="23"/>
          <w:highlight w:val="none"/>
          <w:shd w:val="clear" w:color="auto" w:fill="FFFFFF"/>
          <w:lang w:val="en-US" w:eastAsia="zh-CN"/>
        </w:rPr>
        <w:t>0</w:t>
      </w:r>
      <w:r>
        <w:rPr>
          <w:rFonts w:hint="default" w:ascii="Times New Roman" w:hAnsi="Times New Roman" w:cs="Arial"/>
          <w:bCs/>
          <w:snapToGrid w:val="0"/>
          <w:color w:val="auto"/>
          <w:kern w:val="0"/>
          <w:szCs w:val="23"/>
          <w:highlight w:val="none"/>
          <w:shd w:val="clear" w:color="auto" w:fill="FFFFFF"/>
          <w:lang w:val="en-US" w:eastAsia="zh-CN"/>
        </w:rPr>
        <w:t>年，能源结构逐步优化</w:t>
      </w:r>
      <w:r>
        <w:rPr>
          <w:rFonts w:hint="default" w:ascii="Times New Roman" w:hAnsi="Times New Roman" w:cs="Arial"/>
          <w:bCs/>
          <w:snapToGrid w:val="0"/>
          <w:color w:val="auto"/>
          <w:kern w:val="0"/>
          <w:szCs w:val="23"/>
          <w:highlight w:val="none"/>
          <w:shd w:val="clear" w:color="auto" w:fill="FFFFFF"/>
        </w:rPr>
        <w:t>，非化石能源消费比重</w:t>
      </w:r>
      <w:r>
        <w:rPr>
          <w:rFonts w:hint="eastAsia" w:ascii="Times New Roman" w:hAnsi="Times New Roman" w:cs="Arial"/>
          <w:bCs/>
          <w:snapToGrid w:val="0"/>
          <w:color w:val="auto"/>
          <w:kern w:val="0"/>
          <w:szCs w:val="23"/>
          <w:highlight w:val="none"/>
          <w:shd w:val="clear" w:color="auto" w:fill="FFFFFF"/>
          <w:lang w:val="en-US" w:eastAsia="zh-CN"/>
        </w:rPr>
        <w:t>持续提升</w:t>
      </w:r>
      <w:r>
        <w:rPr>
          <w:rFonts w:hint="default"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大型企业和工业园区源网荷储一体化、新能源跨领域融合、负荷聚合服务、综合能源、虚拟电厂等贴近终端用户的电力消费新模式新业态不断涌现，促进绿电就地开发利用和高效消纳。清洁能源制氢取得突破发展，加氢站布局优化完善</w:t>
      </w:r>
      <w:r>
        <w:rPr>
          <w:rFonts w:hint="default" w:ascii="Times New Roman" w:hAnsi="Times New Roman" w:cs="Arial"/>
          <w:bCs/>
          <w:snapToGrid w:val="0"/>
          <w:color w:val="auto"/>
          <w:kern w:val="0"/>
          <w:szCs w:val="23"/>
          <w:highlight w:val="none"/>
          <w:shd w:val="clear" w:color="auto" w:fill="FFFFFF"/>
          <w:lang w:eastAsia="zh-CN"/>
        </w:rPr>
        <w:t>，</w:t>
      </w:r>
      <w:r>
        <w:rPr>
          <w:rFonts w:hint="default" w:ascii="Times New Roman" w:hAnsi="Times New Roman" w:cs="Arial"/>
          <w:bCs/>
          <w:snapToGrid w:val="0"/>
          <w:color w:val="auto"/>
          <w:kern w:val="0"/>
          <w:szCs w:val="23"/>
          <w:highlight w:val="none"/>
          <w:shd w:val="clear" w:color="auto" w:fill="FFFFFF"/>
        </w:rPr>
        <w:t>充电基础设施网络</w:t>
      </w:r>
      <w:r>
        <w:rPr>
          <w:rFonts w:hint="default" w:ascii="Times New Roman" w:hAnsi="Times New Roman" w:cs="Arial"/>
          <w:bCs/>
          <w:snapToGrid w:val="0"/>
          <w:color w:val="auto"/>
          <w:kern w:val="0"/>
          <w:szCs w:val="23"/>
          <w:highlight w:val="none"/>
          <w:shd w:val="clear" w:color="auto" w:fill="FFFFFF"/>
          <w:lang w:val="en-US" w:eastAsia="zh-CN"/>
        </w:rPr>
        <w:t>优化</w:t>
      </w:r>
      <w:r>
        <w:rPr>
          <w:rFonts w:hint="default" w:ascii="Times New Roman" w:hAnsi="Times New Roman" w:cs="Arial"/>
          <w:bCs/>
          <w:snapToGrid w:val="0"/>
          <w:color w:val="auto"/>
          <w:kern w:val="0"/>
          <w:szCs w:val="23"/>
          <w:highlight w:val="none"/>
          <w:shd w:val="clear" w:color="auto" w:fill="FFFFFF"/>
        </w:rPr>
        <w:t>，建成公共充电桩</w:t>
      </w:r>
      <w:r>
        <w:rPr>
          <w:rFonts w:hint="eastAsia" w:ascii="Times New Roman" w:hAnsi="Times New Roman" w:cs="Arial"/>
          <w:bCs/>
          <w:snapToGrid w:val="0"/>
          <w:color w:val="auto"/>
          <w:kern w:val="0"/>
          <w:szCs w:val="23"/>
          <w:highlight w:val="none"/>
          <w:shd w:val="clear" w:color="auto" w:fill="FFFFFF"/>
          <w:lang w:val="en-US" w:eastAsia="zh-CN"/>
        </w:rPr>
        <w:t>0.8</w:t>
      </w:r>
      <w:r>
        <w:rPr>
          <w:rFonts w:hint="default" w:ascii="Times New Roman" w:hAnsi="Times New Roman" w:cs="Arial"/>
          <w:bCs/>
          <w:snapToGrid w:val="0"/>
          <w:color w:val="auto"/>
          <w:kern w:val="0"/>
          <w:szCs w:val="23"/>
          <w:highlight w:val="none"/>
          <w:shd w:val="clear" w:color="auto" w:fill="FFFFFF"/>
        </w:rPr>
        <w:t>万个。能源</w:t>
      </w:r>
      <w:r>
        <w:rPr>
          <w:rFonts w:hint="default" w:ascii="Times New Roman" w:hAnsi="Times New Roman" w:cs="Arial"/>
          <w:bCs/>
          <w:snapToGrid w:val="0"/>
          <w:color w:val="auto"/>
          <w:kern w:val="0"/>
          <w:szCs w:val="23"/>
          <w:highlight w:val="none"/>
          <w:shd w:val="clear" w:color="auto" w:fill="FFFFFF"/>
          <w:lang w:val="en-US" w:eastAsia="zh-CN"/>
        </w:rPr>
        <w:t>治理</w:t>
      </w:r>
      <w:r>
        <w:rPr>
          <w:rFonts w:hint="default" w:ascii="Times New Roman" w:hAnsi="Times New Roman" w:cs="Arial"/>
          <w:bCs/>
          <w:snapToGrid w:val="0"/>
          <w:color w:val="auto"/>
          <w:kern w:val="0"/>
          <w:szCs w:val="23"/>
          <w:highlight w:val="none"/>
          <w:shd w:val="clear" w:color="auto" w:fill="FFFFFF"/>
        </w:rPr>
        <w:t>体系不断完善，能源安全保障能力大幅提升，新型能源体系</w:t>
      </w:r>
      <w:r>
        <w:rPr>
          <w:rFonts w:hint="default" w:ascii="Times New Roman" w:hAnsi="Times New Roman" w:cs="Arial"/>
          <w:bCs/>
          <w:snapToGrid w:val="0"/>
          <w:color w:val="auto"/>
          <w:kern w:val="0"/>
          <w:szCs w:val="23"/>
          <w:highlight w:val="none"/>
          <w:shd w:val="clear" w:color="auto" w:fill="FFFFFF"/>
          <w:lang w:val="en-US" w:eastAsia="zh-CN"/>
        </w:rPr>
        <w:t>基本</w:t>
      </w:r>
      <w:r>
        <w:rPr>
          <w:rFonts w:hint="default" w:ascii="Times New Roman" w:hAnsi="Times New Roman" w:cs="Arial"/>
          <w:bCs/>
          <w:snapToGrid w:val="0"/>
          <w:color w:val="auto"/>
          <w:kern w:val="0"/>
          <w:szCs w:val="23"/>
          <w:highlight w:val="none"/>
          <w:shd w:val="clear" w:color="auto" w:fill="FFFFFF"/>
        </w:rPr>
        <w:t>建成。</w:t>
      </w:r>
    </w:p>
    <w:tbl>
      <w:tblPr>
        <w:tblStyle w:val="18"/>
        <w:tblW w:w="8825" w:type="dxa"/>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autofit"/>
        <w:tblCellMar>
          <w:top w:w="0" w:type="dxa"/>
          <w:left w:w="108" w:type="dxa"/>
          <w:bottom w:w="0" w:type="dxa"/>
          <w:right w:w="108" w:type="dxa"/>
        </w:tblCellMar>
      </w:tblPr>
      <w:tblGrid>
        <w:gridCol w:w="646"/>
        <w:gridCol w:w="2583"/>
        <w:gridCol w:w="1211"/>
        <w:gridCol w:w="1199"/>
        <w:gridCol w:w="1250"/>
        <w:gridCol w:w="979"/>
        <w:gridCol w:w="957"/>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0" w:hRule="atLeast"/>
          <w:tblHeader/>
          <w:jc w:val="center"/>
        </w:trPr>
        <w:tc>
          <w:tcPr>
            <w:tcW w:w="8825" w:type="dxa"/>
            <w:gridSpan w:val="7"/>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aps w:val="0"/>
                <w:color w:val="auto"/>
                <w:spacing w:val="0"/>
                <w:sz w:val="32"/>
                <w:szCs w:val="32"/>
                <w:highlight w:val="none"/>
                <w:shd w:val="clear" w:fill="FFFFFF"/>
                <w:vertAlign w:val="baseline"/>
                <w:lang w:val="en-US" w:eastAsia="zh-CN"/>
              </w:rPr>
            </w:pPr>
            <w:bookmarkStart w:id="65" w:name="_Toc29832"/>
            <w:r>
              <w:rPr>
                <w:rFonts w:hint="eastAsia" w:ascii="Times New Roman" w:hAnsi="Times New Roman" w:eastAsia="黑体" w:cs="Times New Roman"/>
                <w:color w:val="auto"/>
                <w:sz w:val="32"/>
                <w:szCs w:val="32"/>
                <w:lang w:val="en-US" w:eastAsia="zh-CN"/>
              </w:rPr>
              <w:t>专栏2 鄂州市能源“十五五”主要指标表</w:t>
            </w:r>
            <w:bookmarkEnd w:id="65"/>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0" w:hRule="atLeast"/>
          <w:tblHeader/>
          <w:jc w:val="center"/>
        </w:trPr>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b/>
                <w:bCs/>
                <w:color w:val="auto"/>
                <w:kern w:val="2"/>
                <w:sz w:val="24"/>
                <w:szCs w:val="24"/>
                <w:highlight w:val="none"/>
                <w:shd w:val="clear" w:fill="FFFFFF"/>
              </w:rPr>
            </w:pPr>
            <w:r>
              <w:rPr>
                <w:rFonts w:hint="eastAsia" w:ascii="Times New Roman" w:hAnsi="Times New Roman" w:eastAsia="仿宋_GB2312" w:cs="仿宋_GB2312"/>
                <w:b/>
                <w:bCs/>
                <w:color w:val="auto"/>
                <w:kern w:val="2"/>
                <w:sz w:val="24"/>
                <w:szCs w:val="24"/>
                <w:highlight w:val="none"/>
                <w:shd w:val="clear" w:fill="FFFFFF"/>
              </w:rPr>
              <w:t>序号</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b/>
                <w:bCs/>
                <w:color w:val="auto"/>
                <w:kern w:val="2"/>
                <w:sz w:val="24"/>
                <w:szCs w:val="24"/>
                <w:highlight w:val="none"/>
                <w:shd w:val="clear" w:fill="FFFFFF"/>
              </w:rPr>
            </w:pPr>
            <w:r>
              <w:rPr>
                <w:rFonts w:hint="eastAsia" w:ascii="Times New Roman" w:hAnsi="Times New Roman" w:eastAsia="仿宋_GB2312" w:cs="仿宋_GB2312"/>
                <w:b/>
                <w:bCs/>
                <w:color w:val="auto"/>
                <w:kern w:val="2"/>
                <w:sz w:val="24"/>
                <w:szCs w:val="24"/>
                <w:highlight w:val="none"/>
                <w:shd w:val="clear" w:fill="FFFFFF"/>
              </w:rPr>
              <w:t>指标</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b/>
                <w:bCs/>
                <w:color w:val="auto"/>
                <w:kern w:val="2"/>
                <w:sz w:val="24"/>
                <w:szCs w:val="24"/>
                <w:highlight w:val="none"/>
                <w:shd w:val="clear" w:fill="FFFFFF"/>
              </w:rPr>
            </w:pPr>
            <w:r>
              <w:rPr>
                <w:rFonts w:hint="eastAsia" w:ascii="Times New Roman" w:hAnsi="Times New Roman" w:eastAsia="仿宋_GB2312" w:cs="仿宋_GB2312"/>
                <w:b/>
                <w:bCs/>
                <w:color w:val="auto"/>
                <w:kern w:val="2"/>
                <w:sz w:val="24"/>
                <w:szCs w:val="24"/>
                <w:highlight w:val="none"/>
                <w:shd w:val="clear" w:fill="FFFFFF"/>
              </w:rPr>
              <w:t>单位</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仿宋_GB2312"/>
                <w:b/>
                <w:bCs/>
                <w:color w:val="auto"/>
                <w:kern w:val="2"/>
                <w:sz w:val="24"/>
                <w:szCs w:val="24"/>
                <w:highlight w:val="none"/>
                <w:shd w:val="clear" w:fill="FFFFFF"/>
                <w:lang w:val="en-US" w:eastAsia="zh-CN"/>
              </w:rPr>
            </w:pPr>
            <w:r>
              <w:rPr>
                <w:rFonts w:hint="eastAsia" w:ascii="Times New Roman" w:hAnsi="Times New Roman" w:cs="仿宋_GB2312"/>
                <w:b/>
                <w:bCs/>
                <w:color w:val="auto"/>
                <w:kern w:val="2"/>
                <w:sz w:val="24"/>
                <w:szCs w:val="24"/>
                <w:highlight w:val="none"/>
                <w:shd w:val="clear" w:fill="FFFFFF"/>
                <w:lang w:val="en-US" w:eastAsia="zh-CN"/>
              </w:rPr>
              <w:t>2025</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b/>
                <w:bCs/>
                <w:color w:val="auto"/>
                <w:kern w:val="2"/>
                <w:sz w:val="24"/>
                <w:szCs w:val="24"/>
                <w:highlight w:val="none"/>
                <w:shd w:val="clear" w:fill="FFFFFF"/>
              </w:rPr>
            </w:pPr>
            <w:r>
              <w:rPr>
                <w:rFonts w:hint="eastAsia" w:ascii="Times New Roman" w:hAnsi="Times New Roman" w:eastAsia="仿宋_GB2312" w:cs="仿宋_GB2312"/>
                <w:b/>
                <w:bCs/>
                <w:color w:val="auto"/>
                <w:kern w:val="2"/>
                <w:sz w:val="24"/>
                <w:szCs w:val="24"/>
                <w:highlight w:val="none"/>
                <w:shd w:val="clear" w:fill="FFFFFF"/>
              </w:rPr>
              <w:t>2030</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仿宋_GB2312"/>
                <w:b/>
                <w:bCs/>
                <w:color w:val="auto"/>
                <w:kern w:val="2"/>
                <w:sz w:val="24"/>
                <w:szCs w:val="24"/>
                <w:highlight w:val="none"/>
                <w:shd w:val="clear" w:fill="FFFFFF"/>
                <w:lang w:val="en-US" w:eastAsia="zh-CN"/>
              </w:rPr>
            </w:pPr>
            <w:r>
              <w:rPr>
                <w:rFonts w:hint="eastAsia" w:ascii="Times New Roman" w:hAnsi="Times New Roman" w:cs="仿宋_GB2312"/>
                <w:b/>
                <w:bCs/>
                <w:color w:val="auto"/>
                <w:kern w:val="2"/>
                <w:sz w:val="24"/>
                <w:szCs w:val="24"/>
                <w:highlight w:val="none"/>
                <w:shd w:val="clear" w:fill="FFFFFF"/>
                <w:lang w:val="en-US" w:eastAsia="zh-CN"/>
              </w:rPr>
              <w:t>年均增速</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b/>
                <w:bCs/>
                <w:color w:val="auto"/>
                <w:kern w:val="2"/>
                <w:sz w:val="24"/>
                <w:szCs w:val="24"/>
                <w:highlight w:val="none"/>
                <w:shd w:val="clear" w:fill="FFFFFF"/>
                <w:lang w:val="en-US" w:eastAsia="zh-CN"/>
              </w:rPr>
            </w:pPr>
            <w:r>
              <w:rPr>
                <w:rFonts w:hint="eastAsia" w:ascii="Times New Roman" w:hAnsi="Times New Roman" w:cs="仿宋_GB2312"/>
                <w:b/>
                <w:bCs/>
                <w:color w:val="auto"/>
                <w:kern w:val="2"/>
                <w:sz w:val="24"/>
                <w:szCs w:val="24"/>
                <w:highlight w:val="none"/>
                <w:shd w:val="clear" w:fill="FFFFFF"/>
                <w:lang w:val="en-US" w:eastAsia="zh-CN"/>
              </w:rPr>
              <w:t>属性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1</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能源综合生产能力</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万吨标准煤</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12.7</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50</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31.5%</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约束性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2</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煤炭储备能力</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万吨</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80</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100</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4.6%</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cs="仿宋_GB2312"/>
                <w:color w:val="auto"/>
                <w:kern w:val="2"/>
                <w:sz w:val="24"/>
                <w:szCs w:val="24"/>
                <w:highlight w:val="none"/>
                <w:shd w:val="clear" w:fill="FFFFFF"/>
                <w:lang w:val="en-US" w:eastAsia="zh-CN"/>
              </w:rPr>
              <w:t>3</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Style w:val="19"/>
                <w:rFonts w:hint="eastAsia" w:ascii="Times New Roman" w:hAnsi="Times New Roman" w:eastAsia="仿宋_GB2312" w:cs="仿宋_GB2312"/>
                <w:color w:val="auto"/>
                <w:sz w:val="24"/>
                <w:szCs w:val="24"/>
                <w:highlight w:val="none"/>
                <w:shd w:val="clear" w:fill="FFFFFF"/>
                <w:lang w:val="en-US" w:eastAsia="zh-CN" w:bidi="ar-SA"/>
              </w:rPr>
              <w:t>储气能力</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Style w:val="19"/>
                <w:rFonts w:hint="eastAsia" w:ascii="Times New Roman" w:hAnsi="Times New Roman" w:eastAsia="仿宋_GB2312" w:cs="仿宋_GB2312"/>
                <w:color w:val="auto"/>
                <w:sz w:val="24"/>
                <w:szCs w:val="24"/>
                <w:highlight w:val="none"/>
                <w:shd w:val="clear" w:fill="FFFFFF"/>
                <w:lang w:val="en-US" w:eastAsia="zh-CN" w:bidi="ar-SA"/>
              </w:rPr>
              <w:t>万立方米</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720</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eastAsia="zh-CN"/>
              </w:rPr>
            </w:pPr>
            <w:r>
              <w:rPr>
                <w:rFonts w:hint="eastAsia" w:ascii="Times New Roman" w:hAnsi="Times New Roman" w:cs="仿宋_GB2312"/>
                <w:color w:val="auto"/>
                <w:kern w:val="2"/>
                <w:sz w:val="24"/>
                <w:szCs w:val="24"/>
                <w:highlight w:val="none"/>
                <w:shd w:val="clear" w:fill="FFFFFF"/>
                <w:lang w:val="en-US" w:eastAsia="zh-CN"/>
              </w:rPr>
              <w:t>4</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新型储能装机</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万千瓦</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5</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30</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43.1%</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vMerge w:val="restart"/>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eastAsia="zh-CN"/>
              </w:rPr>
            </w:pPr>
            <w:r>
              <w:rPr>
                <w:rFonts w:hint="eastAsia" w:ascii="Times New Roman" w:hAnsi="Times New Roman" w:cs="仿宋_GB2312"/>
                <w:color w:val="auto"/>
                <w:kern w:val="2"/>
                <w:sz w:val="24"/>
                <w:szCs w:val="24"/>
                <w:highlight w:val="none"/>
                <w:shd w:val="clear" w:fill="FFFFFF"/>
                <w:lang w:val="en-US" w:eastAsia="zh-CN"/>
              </w:rPr>
              <w:t>5</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发电总装机</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万千瓦</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483.5</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841</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11.7%</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vMerge w:val="continue"/>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其中：火电装机</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万千瓦</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441.2</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654</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8.2%</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vMerge w:val="continue"/>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光伏</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万千瓦</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42.3</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180</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33.6%</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vMerge w:val="continue"/>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风电</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万千瓦</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0</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7</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vMerge w:val="continue"/>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水电</w:t>
            </w:r>
          </w:p>
        </w:tc>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color w:val="auto"/>
                <w:kern w:val="2"/>
                <w:sz w:val="24"/>
                <w:szCs w:val="24"/>
                <w:highlight w:val="none"/>
                <w:shd w:val="clear" w:fill="FFFFFF"/>
              </w:rPr>
              <w:t>万千瓦</w:t>
            </w:r>
          </w:p>
        </w:tc>
        <w:tc>
          <w:tcPr>
            <w:tcW w:w="1199"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0</w:t>
            </w:r>
          </w:p>
        </w:tc>
        <w:tc>
          <w:tcPr>
            <w:tcW w:w="1250"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0</w:t>
            </w:r>
          </w:p>
        </w:tc>
        <w:tc>
          <w:tcPr>
            <w:tcW w:w="868"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w:t>
            </w:r>
          </w:p>
        </w:tc>
        <w:tc>
          <w:tcPr>
            <w:tcW w:w="957" w:type="dxa"/>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vMerge w:val="restart"/>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eastAsia="zh-CN"/>
              </w:rPr>
            </w:pPr>
            <w:r>
              <w:rPr>
                <w:rFonts w:hint="eastAsia" w:ascii="Times New Roman" w:hAnsi="Times New Roman" w:cs="仿宋_GB2312"/>
                <w:color w:val="auto"/>
                <w:kern w:val="2"/>
                <w:sz w:val="24"/>
                <w:szCs w:val="24"/>
                <w:highlight w:val="none"/>
                <w:shd w:val="clear" w:fill="FFFFFF"/>
                <w:lang w:val="en-US" w:eastAsia="zh-CN"/>
              </w:rPr>
              <w:t>6</w:t>
            </w: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eastAsia="仿宋_GB2312" w:cs="仿宋_GB2312"/>
                <w:color w:val="auto"/>
                <w:kern w:val="2"/>
                <w:sz w:val="24"/>
                <w:szCs w:val="24"/>
                <w:highlight w:val="none"/>
                <w:shd w:val="clear" w:fill="FFFFFF"/>
              </w:rPr>
              <w:t>全社会用电量</w:t>
            </w: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eastAsia="仿宋_GB2312" w:cs="仿宋_GB2312"/>
                <w:color w:val="auto"/>
                <w:kern w:val="2"/>
                <w:sz w:val="24"/>
                <w:szCs w:val="24"/>
                <w:highlight w:val="none"/>
                <w:shd w:val="clear" w:fill="FFFFFF"/>
              </w:rPr>
              <w:t>亿千瓦时</w:t>
            </w:r>
          </w:p>
        </w:tc>
        <w:tc>
          <w:tcPr>
            <w:tcW w:w="1199"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cs="仿宋_GB2312"/>
                <w:color w:val="auto"/>
                <w:kern w:val="2"/>
                <w:sz w:val="24"/>
                <w:szCs w:val="24"/>
                <w:highlight w:val="none"/>
                <w:shd w:val="clear" w:fill="FFFFFF"/>
                <w:lang w:val="en-US" w:eastAsia="zh-CN"/>
              </w:rPr>
              <w:t>87.69</w:t>
            </w:r>
          </w:p>
        </w:tc>
        <w:tc>
          <w:tcPr>
            <w:tcW w:w="1250"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cs="仿宋_GB2312"/>
                <w:color w:val="auto"/>
                <w:kern w:val="2"/>
                <w:sz w:val="24"/>
                <w:szCs w:val="24"/>
                <w:highlight w:val="none"/>
                <w:shd w:val="clear" w:fill="FFFFFF"/>
                <w:lang w:val="en-US" w:eastAsia="zh-CN"/>
              </w:rPr>
              <w:t>113</w:t>
            </w:r>
          </w:p>
        </w:tc>
        <w:tc>
          <w:tcPr>
            <w:tcW w:w="868"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5.2%</w:t>
            </w:r>
          </w:p>
        </w:tc>
        <w:tc>
          <w:tcPr>
            <w:tcW w:w="957"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vMerge w:val="continue"/>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eastAsia="仿宋_GB2312" w:cs="仿宋_GB2312"/>
                <w:color w:val="auto"/>
                <w:kern w:val="2"/>
                <w:sz w:val="24"/>
                <w:szCs w:val="24"/>
                <w:highlight w:val="none"/>
                <w:shd w:val="clear" w:fill="FFFFFF"/>
              </w:rPr>
              <w:t>非化石能源占能源消费比重</w:t>
            </w: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eastAsia="仿宋_GB2312" w:cs="仿宋_GB2312"/>
                <w:color w:val="auto"/>
                <w:kern w:val="2"/>
                <w:sz w:val="24"/>
                <w:szCs w:val="24"/>
                <w:highlight w:val="none"/>
                <w:shd w:val="clear" w:fill="FFFFFF"/>
              </w:rPr>
              <w:t>%</w:t>
            </w:r>
          </w:p>
        </w:tc>
        <w:tc>
          <w:tcPr>
            <w:tcW w:w="1199"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cs="仿宋_GB2312"/>
                <w:color w:val="auto"/>
                <w:kern w:val="2"/>
                <w:sz w:val="24"/>
                <w:szCs w:val="24"/>
                <w:highlight w:val="none"/>
                <w:shd w:val="clear" w:fill="FFFFFF"/>
                <w:lang w:val="en-US" w:eastAsia="zh-CN"/>
              </w:rPr>
              <w:t>/</w:t>
            </w:r>
          </w:p>
        </w:tc>
        <w:tc>
          <w:tcPr>
            <w:tcW w:w="1250"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bidi="ar-SA"/>
              </w:rPr>
            </w:pPr>
            <w:r>
              <w:rPr>
                <w:rFonts w:hint="eastAsia" w:ascii="Times New Roman" w:hAnsi="Times New Roman" w:cs="仿宋_GB2312"/>
                <w:color w:val="auto"/>
                <w:kern w:val="2"/>
                <w:sz w:val="24"/>
                <w:szCs w:val="24"/>
                <w:highlight w:val="none"/>
                <w:shd w:val="clear" w:fill="FFFFFF"/>
                <w:lang w:val="en-US" w:eastAsia="zh-CN"/>
              </w:rPr>
              <w:t>达到省定目标</w:t>
            </w:r>
          </w:p>
        </w:tc>
        <w:tc>
          <w:tcPr>
            <w:tcW w:w="868"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w:t>
            </w:r>
          </w:p>
        </w:tc>
        <w:tc>
          <w:tcPr>
            <w:tcW w:w="957"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约束性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bookmarkStart w:id="66" w:name="_Toc2209"/>
            <w:bookmarkStart w:id="67" w:name="_Toc25653"/>
            <w:r>
              <w:rPr>
                <w:rFonts w:hint="eastAsia" w:ascii="Times New Roman" w:hAnsi="Times New Roman" w:cs="仿宋_GB2312"/>
                <w:color w:val="auto"/>
                <w:kern w:val="2"/>
                <w:sz w:val="24"/>
                <w:szCs w:val="24"/>
                <w:highlight w:val="none"/>
                <w:shd w:val="clear" w:fill="FFFFFF"/>
                <w:lang w:val="en-US" w:eastAsia="zh-CN"/>
              </w:rPr>
              <w:t>7</w:t>
            </w: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cs="仿宋_GB2312"/>
                <w:i w:val="0"/>
                <w:iCs w:val="0"/>
                <w:color w:val="auto"/>
                <w:kern w:val="2"/>
                <w:sz w:val="24"/>
                <w:szCs w:val="24"/>
                <w:highlight w:val="none"/>
                <w:u w:val="none"/>
                <w:shd w:val="clear" w:fill="FFFFFF"/>
                <w:lang w:val="en-US" w:eastAsia="zh-CN" w:bidi="ar-SA"/>
              </w:rPr>
              <w:t>公共</w:t>
            </w:r>
            <w:r>
              <w:rPr>
                <w:rFonts w:hint="eastAsia" w:ascii="Times New Roman" w:hAnsi="Times New Roman" w:eastAsia="仿宋_GB2312" w:cs="仿宋_GB2312"/>
                <w:i w:val="0"/>
                <w:iCs w:val="0"/>
                <w:color w:val="auto"/>
                <w:kern w:val="2"/>
                <w:sz w:val="24"/>
                <w:szCs w:val="24"/>
                <w:highlight w:val="none"/>
                <w:u w:val="none"/>
                <w:shd w:val="clear" w:fill="FFFFFF"/>
                <w:lang w:val="en-US" w:eastAsia="zh-CN" w:bidi="ar-SA"/>
              </w:rPr>
              <w:t>充电桩数量</w:t>
            </w: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rPr>
            </w:pPr>
            <w:r>
              <w:rPr>
                <w:rFonts w:hint="eastAsia" w:ascii="Times New Roman" w:hAnsi="Times New Roman" w:eastAsia="仿宋_GB2312" w:cs="仿宋_GB2312"/>
                <w:i w:val="0"/>
                <w:iCs w:val="0"/>
                <w:color w:val="auto"/>
                <w:kern w:val="2"/>
                <w:sz w:val="24"/>
                <w:szCs w:val="24"/>
                <w:highlight w:val="none"/>
                <w:u w:val="none"/>
                <w:shd w:val="clear" w:fill="FFFFFF"/>
                <w:lang w:val="en-US" w:eastAsia="zh-CN" w:bidi="ar-SA"/>
              </w:rPr>
              <w:t>万个</w:t>
            </w:r>
          </w:p>
        </w:tc>
        <w:tc>
          <w:tcPr>
            <w:tcW w:w="1199"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0.4</w:t>
            </w:r>
          </w:p>
        </w:tc>
        <w:tc>
          <w:tcPr>
            <w:tcW w:w="1250"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0.8</w:t>
            </w:r>
          </w:p>
        </w:tc>
        <w:tc>
          <w:tcPr>
            <w:tcW w:w="868"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14.9%</w:t>
            </w:r>
          </w:p>
        </w:tc>
        <w:tc>
          <w:tcPr>
            <w:tcW w:w="957"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8</w:t>
            </w: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城乡供电可靠率</w:t>
            </w:r>
          </w:p>
        </w:tc>
        <w:tc>
          <w:tcPr>
            <w:tcW w:w="0" w:type="auto"/>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w:t>
            </w:r>
          </w:p>
        </w:tc>
        <w:tc>
          <w:tcPr>
            <w:tcW w:w="1199"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99.99</w:t>
            </w:r>
          </w:p>
        </w:tc>
        <w:tc>
          <w:tcPr>
            <w:tcW w:w="1250"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99.999</w:t>
            </w:r>
          </w:p>
        </w:tc>
        <w:tc>
          <w:tcPr>
            <w:tcW w:w="868"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w:t>
            </w:r>
          </w:p>
        </w:tc>
        <w:tc>
          <w:tcPr>
            <w:tcW w:w="957" w:type="dxa"/>
            <w:tcBorders>
              <w:top w:val="single" w:color="auto" w:sz="4" w:space="0"/>
              <w:left w:val="single" w:color="auto" w:sz="4" w:space="0"/>
              <w:bottom w:val="single" w:color="auto" w:sz="4" w:space="0"/>
              <w:right w:val="single" w:color="auto" w:sz="4" w:space="0"/>
            </w:tcBorders>
            <w:shd w:val="clear" w:color="auto" w:fill="auto"/>
            <w:tcMar>
              <w:bottom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仿宋_GB2312"/>
                <w:color w:val="auto"/>
                <w:kern w:val="2"/>
                <w:sz w:val="24"/>
                <w:szCs w:val="24"/>
                <w:highlight w:val="none"/>
                <w:shd w:val="clear" w:fill="FFFFFF"/>
                <w:lang w:val="en-US" w:eastAsia="zh-CN"/>
              </w:rPr>
            </w:pPr>
            <w:r>
              <w:rPr>
                <w:rFonts w:hint="eastAsia" w:ascii="Times New Roman" w:hAnsi="Times New Roman" w:cs="仿宋_GB2312"/>
                <w:color w:val="auto"/>
                <w:kern w:val="2"/>
                <w:sz w:val="24"/>
                <w:szCs w:val="24"/>
                <w:highlight w:val="none"/>
                <w:shd w:val="clear" w:fill="FFFFFF"/>
                <w:lang w:val="en-US" w:eastAsia="zh-CN"/>
              </w:rPr>
              <w:t>预期性</w:t>
            </w:r>
          </w:p>
        </w:tc>
      </w:tr>
    </w:tbl>
    <w:p>
      <w:pPr>
        <w:pStyle w:val="22"/>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0" w:firstLineChars="200"/>
        <w:textAlignment w:val="baseline"/>
        <w:outlineLvl w:val="0"/>
        <w:rPr>
          <w:rFonts w:hint="eastAsia" w:ascii="黑体" w:hAnsi="黑体" w:eastAsia="黑体" w:cs="黑体"/>
          <w:color w:val="auto"/>
          <w:highlight w:val="none"/>
          <w:lang w:val="en-US" w:eastAsia="zh-CN"/>
        </w:rPr>
      </w:pPr>
      <w:bookmarkStart w:id="68" w:name="_Toc25780"/>
      <w:r>
        <w:rPr>
          <w:rFonts w:hint="eastAsia" w:ascii="黑体" w:hAnsi="黑体" w:eastAsia="黑体" w:cs="黑体"/>
          <w:color w:val="auto"/>
          <w:highlight w:val="none"/>
          <w:lang w:val="en-US" w:eastAsia="zh-CN"/>
        </w:rPr>
        <w:t>加快推进新能源多元发展，</w:t>
      </w:r>
      <w:bookmarkEnd w:id="66"/>
      <w:bookmarkEnd w:id="67"/>
      <w:r>
        <w:rPr>
          <w:rFonts w:hint="eastAsia" w:ascii="黑体" w:hAnsi="黑体" w:eastAsia="黑体" w:cs="黑体"/>
          <w:color w:val="auto"/>
          <w:highlight w:val="none"/>
          <w:lang w:val="en-US" w:eastAsia="zh-CN"/>
        </w:rPr>
        <w:t>提升绿色能源供给</w:t>
      </w:r>
      <w:bookmarkEnd w:id="68"/>
    </w:p>
    <w:p>
      <w:pPr>
        <w:pStyle w:val="22"/>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firstLine="640" w:firstLineChars="200"/>
        <w:textAlignment w:val="baseline"/>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69" w:name="_Toc121"/>
      <w:bookmarkStart w:id="70" w:name="_Toc6641"/>
      <w:bookmarkStart w:id="71" w:name="_Toc29577"/>
      <w:r>
        <w:rPr>
          <w:rFonts w:hint="eastAsia" w:ascii="楷体_GB2312" w:hAnsi="楷体_GB2312" w:eastAsia="楷体_GB2312" w:cs="楷体_GB2312"/>
          <w:b w:val="0"/>
          <w:bCs w:val="0"/>
          <w:color w:val="auto"/>
          <w:szCs w:val="32"/>
          <w:highlight w:val="none"/>
        </w:rPr>
        <w:t>推进</w:t>
      </w:r>
      <w:r>
        <w:rPr>
          <w:rFonts w:hint="eastAsia" w:ascii="楷体_GB2312" w:hAnsi="楷体_GB2312" w:eastAsia="楷体_GB2312" w:cs="楷体_GB2312"/>
          <w:b w:val="0"/>
          <w:bCs w:val="0"/>
          <w:color w:val="auto"/>
          <w:szCs w:val="32"/>
          <w:highlight w:val="none"/>
          <w:lang w:eastAsia="zh-CN"/>
        </w:rPr>
        <w:t>“</w:t>
      </w:r>
      <w:r>
        <w:rPr>
          <w:rFonts w:hint="eastAsia" w:ascii="楷体_GB2312" w:hAnsi="楷体_GB2312" w:eastAsia="楷体_GB2312" w:cs="楷体_GB2312"/>
          <w:b w:val="0"/>
          <w:bCs w:val="0"/>
          <w:color w:val="auto"/>
          <w:szCs w:val="32"/>
          <w:highlight w:val="none"/>
        </w:rPr>
        <w:t>光火储</w:t>
      </w:r>
      <w:r>
        <w:rPr>
          <w:rFonts w:hint="eastAsia" w:ascii="楷体_GB2312" w:hAnsi="楷体_GB2312" w:eastAsia="楷体_GB2312" w:cs="楷体_GB2312"/>
          <w:b w:val="0"/>
          <w:bCs w:val="0"/>
          <w:color w:val="auto"/>
          <w:szCs w:val="32"/>
          <w:highlight w:val="none"/>
          <w:lang w:eastAsia="zh-CN"/>
        </w:rPr>
        <w:t>”</w:t>
      </w:r>
      <w:r>
        <w:rPr>
          <w:rFonts w:hint="eastAsia" w:ascii="楷体_GB2312" w:hAnsi="楷体_GB2312" w:eastAsia="楷体_GB2312" w:cs="楷体_GB2312"/>
          <w:b w:val="0"/>
          <w:bCs w:val="0"/>
          <w:color w:val="auto"/>
          <w:szCs w:val="32"/>
          <w:highlight w:val="none"/>
        </w:rPr>
        <w:t>一体化</w:t>
      </w:r>
      <w:r>
        <w:rPr>
          <w:rFonts w:hint="eastAsia" w:ascii="楷体_GB2312" w:hAnsi="楷体_GB2312" w:eastAsia="楷体_GB2312" w:cs="楷体_GB2312"/>
          <w:b w:val="0"/>
          <w:bCs w:val="0"/>
          <w:color w:val="auto"/>
          <w:szCs w:val="32"/>
          <w:highlight w:val="none"/>
          <w:lang w:val="en-US" w:eastAsia="zh-CN"/>
        </w:rPr>
        <w:t>建设</w:t>
      </w:r>
      <w:bookmarkEnd w:id="69"/>
      <w:bookmarkEnd w:id="70"/>
      <w:bookmarkEnd w:id="71"/>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szCs w:val="32"/>
          <w:highlight w:val="none"/>
        </w:rPr>
      </w:pPr>
      <w:r>
        <w:rPr>
          <w:rFonts w:hint="default" w:ascii="Times New Roman Regular" w:hAnsi="Times New Roman Regular" w:cs="Times New Roman Regular"/>
          <w:color w:val="auto"/>
          <w:highlight w:val="none"/>
          <w:lang w:val="en-US" w:eastAsia="zh-CN"/>
        </w:rPr>
        <w:t>坚持就地消纳与汇集送出并举、单品类开发和多能互补并行的发展模式，综合考虑风、光资源禀赋、土地资源、生态环保、电力接入和消纳等因素，大力发展新能源。积极推进光伏发电建设，</w:t>
      </w:r>
      <w:r>
        <w:rPr>
          <w:rFonts w:hint="default" w:ascii="Times New Roman Regular" w:hAnsi="Times New Roman Regular" w:cs="Times New Roman Regular"/>
          <w:color w:val="auto"/>
          <w:szCs w:val="32"/>
          <w:highlight w:val="none"/>
          <w:lang w:val="en-US" w:eastAsia="zh-CN"/>
        </w:rPr>
        <w:t>依托鄂州电厂</w:t>
      </w:r>
      <w:r>
        <w:rPr>
          <w:rFonts w:hint="default" w:ascii="Times New Roman Regular" w:hAnsi="Times New Roman Regular" w:cs="Times New Roman Regular"/>
          <w:color w:val="auto"/>
          <w:szCs w:val="32"/>
          <w:highlight w:val="none"/>
        </w:rPr>
        <w:t>清洁煤电项目</w:t>
      </w:r>
      <w:r>
        <w:rPr>
          <w:rFonts w:hint="default" w:ascii="Times New Roman Regular" w:hAnsi="Times New Roman Regular" w:cs="Times New Roman Regular"/>
          <w:color w:val="auto"/>
          <w:szCs w:val="32"/>
          <w:highlight w:val="none"/>
          <w:lang w:val="en-US" w:eastAsia="zh-CN"/>
        </w:rPr>
        <w:t>谋划鄂州市</w:t>
      </w:r>
      <w:r>
        <w:rPr>
          <w:rFonts w:hint="eastAsia" w:ascii="Times New Roman Regular" w:hAnsi="Times New Roman Regular" w:cs="Times New Roman Regular"/>
          <w:color w:val="auto"/>
          <w:szCs w:val="32"/>
          <w:highlight w:val="none"/>
          <w:lang w:val="en-US" w:eastAsia="zh-CN"/>
        </w:rPr>
        <w:t>“</w:t>
      </w:r>
      <w:r>
        <w:rPr>
          <w:rFonts w:hint="default" w:ascii="Times New Roman Regular" w:hAnsi="Times New Roman Regular" w:cs="Times New Roman Regular"/>
          <w:color w:val="auto"/>
          <w:szCs w:val="32"/>
          <w:highlight w:val="none"/>
          <w:lang w:val="en-US" w:eastAsia="zh-CN"/>
        </w:rPr>
        <w:t>光火储</w:t>
      </w:r>
      <w:r>
        <w:rPr>
          <w:rFonts w:hint="eastAsia" w:ascii="Times New Roman Regular" w:hAnsi="Times New Roman Regular" w:cs="Times New Roman Regular"/>
          <w:color w:val="auto"/>
          <w:szCs w:val="32"/>
          <w:highlight w:val="none"/>
          <w:lang w:val="en-US" w:eastAsia="zh-CN"/>
        </w:rPr>
        <w:t>”</w:t>
      </w:r>
      <w:r>
        <w:rPr>
          <w:rFonts w:hint="default" w:ascii="Times New Roman Regular" w:hAnsi="Times New Roman Regular" w:cs="Times New Roman Regular"/>
          <w:color w:val="auto"/>
          <w:szCs w:val="32"/>
          <w:highlight w:val="none"/>
          <w:lang w:val="en-US" w:eastAsia="zh-CN"/>
        </w:rPr>
        <w:t>一体化百万千瓦新能源基地，实现煤电和新能源高质量协同发展</w:t>
      </w:r>
      <w:r>
        <w:rPr>
          <w:rFonts w:hint="default" w:ascii="Times New Roman Regular" w:hAnsi="Times New Roman Regular" w:cs="Times New Roman Regular"/>
          <w:color w:val="auto"/>
          <w:szCs w:val="32"/>
          <w:highlight w:val="none"/>
        </w:rPr>
        <w:t>。</w:t>
      </w:r>
      <w:r>
        <w:rPr>
          <w:rFonts w:hint="default" w:ascii="Times New Roman Regular" w:hAnsi="Times New Roman Regular" w:eastAsia="仿宋_GB2312" w:cs="Times New Roman Regular"/>
          <w:color w:val="auto"/>
          <w:kern w:val="2"/>
          <w:sz w:val="32"/>
          <w:szCs w:val="32"/>
          <w:highlight w:val="none"/>
          <w:lang w:val="en-US" w:eastAsia="zh-CN" w:bidi="ar"/>
        </w:rPr>
        <w:t>打通</w:t>
      </w:r>
      <w:r>
        <w:rPr>
          <w:rFonts w:hint="default" w:ascii="Times New Roman Regular" w:hAnsi="Times New Roman Regular" w:cs="Times New Roman Regular"/>
          <w:color w:val="auto"/>
          <w:kern w:val="2"/>
          <w:sz w:val="32"/>
          <w:szCs w:val="32"/>
          <w:highlight w:val="none"/>
          <w:lang w:val="en-US" w:eastAsia="zh-CN" w:bidi="ar"/>
        </w:rPr>
        <w:t>新能</w:t>
      </w:r>
      <w:r>
        <w:rPr>
          <w:rFonts w:hint="default" w:ascii="Times New Roman Regular" w:hAnsi="Times New Roman Regular" w:cs="Times New Roman Regular"/>
          <w:color w:val="auto"/>
          <w:szCs w:val="32"/>
          <w:highlight w:val="none"/>
          <w:lang w:val="en-US" w:eastAsia="zh-CN"/>
        </w:rPr>
        <w:t>源消纳渠道，着力提升新能源就地消纳和区域协同消纳能力，防范弃光风险，构建区域多能互补、协同融合的能源供给消纳体系。</w:t>
      </w:r>
    </w:p>
    <w:p>
      <w:pPr>
        <w:pStyle w:val="22"/>
        <w:numPr>
          <w:ilvl w:val="0"/>
          <w:numId w:val="4"/>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72" w:name="_Toc25390"/>
      <w:bookmarkStart w:id="73" w:name="_Toc7085"/>
      <w:bookmarkStart w:id="74" w:name="_Toc16162"/>
      <w:r>
        <w:rPr>
          <w:rFonts w:hint="eastAsia" w:ascii="楷体_GB2312" w:hAnsi="楷体_GB2312" w:eastAsia="楷体_GB2312" w:cs="楷体_GB2312"/>
          <w:b w:val="0"/>
          <w:bCs w:val="0"/>
          <w:color w:val="auto"/>
          <w:szCs w:val="32"/>
          <w:highlight w:val="none"/>
          <w:lang w:val="en-US" w:eastAsia="zh-CN"/>
        </w:rPr>
        <w:t>加快新能源高质量发展</w:t>
      </w:r>
      <w:bookmarkEnd w:id="72"/>
      <w:bookmarkEnd w:id="73"/>
      <w:bookmarkEnd w:id="74"/>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9"/>
        <w:rPr>
          <w:rFonts w:hint="default" w:ascii="Times New Roman Regular" w:hAnsi="Times New Roman Regular" w:cs="Times New Roman Regular"/>
          <w:b w:val="0"/>
          <w:bCs w:val="0"/>
          <w:color w:val="auto"/>
          <w:highlight w:val="none"/>
          <w:lang w:val="en-US" w:eastAsia="zh-CN"/>
        </w:rPr>
      </w:pPr>
      <w:r>
        <w:rPr>
          <w:rFonts w:hint="default" w:ascii="Times New Roman Regular" w:hAnsi="Times New Roman Regular" w:cs="Times New Roman Regular"/>
          <w:b/>
          <w:bCs/>
          <w:color w:val="auto"/>
          <w:highlight w:val="none"/>
          <w:lang w:val="en-US" w:eastAsia="zh-CN"/>
        </w:rPr>
        <w:t>推进光伏集约高效发展。</w:t>
      </w:r>
      <w:r>
        <w:rPr>
          <w:rFonts w:hint="default" w:ascii="Times New Roman Regular" w:hAnsi="Times New Roman Regular" w:cs="Times New Roman Regular"/>
          <w:b w:val="0"/>
          <w:bCs w:val="0"/>
          <w:color w:val="auto"/>
          <w:highlight w:val="none"/>
          <w:lang w:val="en-US" w:eastAsia="zh-CN"/>
        </w:rPr>
        <w:t>以</w:t>
      </w:r>
      <w:r>
        <w:rPr>
          <w:rFonts w:hint="eastAsia" w:ascii="Times New Roman Regular" w:hAnsi="Times New Roman Regular" w:cs="Times New Roman Regular"/>
          <w:b w:val="0"/>
          <w:bCs w:val="0"/>
          <w:color w:val="auto"/>
          <w:highlight w:val="none"/>
          <w:lang w:val="en-US" w:eastAsia="zh-CN"/>
        </w:rPr>
        <w:t>鄂城区</w:t>
      </w:r>
      <w:r>
        <w:rPr>
          <w:rFonts w:hint="default" w:ascii="Times New Roman Regular" w:hAnsi="Times New Roman Regular" w:cs="Times New Roman Regular"/>
          <w:b w:val="0"/>
          <w:bCs w:val="0"/>
          <w:color w:val="auto"/>
          <w:highlight w:val="none"/>
          <w:lang w:val="en-US" w:eastAsia="zh-CN"/>
        </w:rPr>
        <w:t>风光发电试点为突破口，全面开展</w:t>
      </w:r>
      <w:r>
        <w:rPr>
          <w:rFonts w:hint="eastAsia" w:ascii="Times New Roman Regular" w:hAnsi="Times New Roman Regular" w:cs="Times New Roman Regular"/>
          <w:b w:val="0"/>
          <w:bCs w:val="0"/>
          <w:color w:val="auto"/>
          <w:highlight w:val="none"/>
          <w:lang w:val="en-US" w:eastAsia="zh-CN"/>
        </w:rPr>
        <w:t>全市</w:t>
      </w:r>
      <w:r>
        <w:rPr>
          <w:rFonts w:hint="default" w:ascii="Times New Roman Regular" w:hAnsi="Times New Roman Regular" w:cs="Times New Roman Regular"/>
          <w:b w:val="0"/>
          <w:bCs w:val="0"/>
          <w:color w:val="auto"/>
          <w:highlight w:val="none"/>
          <w:lang w:val="en-US" w:eastAsia="zh-CN"/>
        </w:rPr>
        <w:t>风光资源普查，</w:t>
      </w:r>
      <w:r>
        <w:rPr>
          <w:rFonts w:hint="eastAsia" w:ascii="Times New Roman Regular" w:hAnsi="Times New Roman Regular" w:cs="Times New Roman Regular"/>
          <w:b w:val="0"/>
          <w:bCs w:val="0"/>
          <w:color w:val="auto"/>
          <w:highlight w:val="none"/>
          <w:lang w:val="en-US" w:eastAsia="zh-CN"/>
        </w:rPr>
        <w:t>摸清全市资源底数，</w:t>
      </w:r>
      <w:r>
        <w:rPr>
          <w:rFonts w:hint="default" w:ascii="Times New Roman Regular" w:hAnsi="Times New Roman Regular" w:cs="Times New Roman Regular"/>
          <w:b w:val="0"/>
          <w:bCs w:val="0"/>
          <w:color w:val="auto"/>
          <w:highlight w:val="none"/>
          <w:lang w:val="en-US" w:eastAsia="zh-CN"/>
        </w:rPr>
        <w:t>精准评估各</w:t>
      </w:r>
      <w:r>
        <w:rPr>
          <w:rFonts w:hint="eastAsia" w:ascii="Times New Roman Regular" w:hAnsi="Times New Roman Regular" w:cs="Times New Roman Regular"/>
          <w:b w:val="0"/>
          <w:bCs w:val="0"/>
          <w:color w:val="auto"/>
          <w:highlight w:val="none"/>
          <w:lang w:val="en-US" w:eastAsia="zh-CN"/>
        </w:rPr>
        <w:t>区域</w:t>
      </w:r>
      <w:r>
        <w:rPr>
          <w:rFonts w:hint="default" w:ascii="Times New Roman Regular" w:hAnsi="Times New Roman Regular" w:cs="Times New Roman Regular"/>
          <w:b w:val="0"/>
          <w:bCs w:val="0"/>
          <w:color w:val="auto"/>
          <w:highlight w:val="none"/>
          <w:lang w:val="en-US" w:eastAsia="zh-CN"/>
        </w:rPr>
        <w:t>开发潜力，</w:t>
      </w:r>
      <w:r>
        <w:rPr>
          <w:rFonts w:hint="eastAsia" w:ascii="Times New Roman Regular" w:hAnsi="Times New Roman Regular" w:cs="Times New Roman Regular"/>
          <w:b w:val="0"/>
          <w:bCs w:val="0"/>
          <w:color w:val="auto"/>
          <w:highlight w:val="none"/>
          <w:lang w:val="en-US" w:eastAsia="zh-CN"/>
        </w:rPr>
        <w:t>科学谋划储备项目。</w:t>
      </w:r>
      <w:r>
        <w:rPr>
          <w:rFonts w:hint="default" w:ascii="Times New Roman Regular" w:hAnsi="Times New Roman Regular" w:cs="Times New Roman Regular"/>
          <w:b w:val="0"/>
          <w:bCs w:val="0"/>
          <w:color w:val="auto"/>
          <w:highlight w:val="none"/>
          <w:lang w:val="en-US" w:eastAsia="zh-CN"/>
        </w:rPr>
        <w:t>加强统筹规划，有效整合优质</w:t>
      </w:r>
      <w:r>
        <w:rPr>
          <w:rFonts w:hint="eastAsia" w:ascii="Times New Roman Regular" w:hAnsi="Times New Roman Regular" w:cs="Times New Roman Regular"/>
          <w:b w:val="0"/>
          <w:bCs w:val="0"/>
          <w:color w:val="auto"/>
          <w:highlight w:val="none"/>
          <w:lang w:val="en-US" w:eastAsia="zh-CN"/>
        </w:rPr>
        <w:t>光伏</w:t>
      </w:r>
      <w:r>
        <w:rPr>
          <w:rFonts w:hint="default" w:ascii="Times New Roman Regular" w:hAnsi="Times New Roman Regular" w:cs="Times New Roman Regular"/>
          <w:b w:val="0"/>
          <w:bCs w:val="0"/>
          <w:color w:val="auto"/>
          <w:highlight w:val="none"/>
          <w:lang w:val="en-US" w:eastAsia="zh-CN"/>
        </w:rPr>
        <w:t>资源，考虑用地、消纳、建设等因素，优选集中连片资源，科学有序推进</w:t>
      </w:r>
      <w:r>
        <w:rPr>
          <w:rFonts w:hint="eastAsia" w:ascii="Times New Roman Regular" w:hAnsi="Times New Roman Regular" w:cs="Times New Roman Regular"/>
          <w:b w:val="0"/>
          <w:bCs w:val="0"/>
          <w:color w:val="auto"/>
          <w:highlight w:val="none"/>
          <w:lang w:val="en-US" w:eastAsia="zh-CN"/>
        </w:rPr>
        <w:t>光伏项目开发。</w:t>
      </w:r>
      <w:r>
        <w:rPr>
          <w:rFonts w:hint="default" w:ascii="Times New Roman Regular" w:hAnsi="Times New Roman Regular" w:cs="Times New Roman Regular"/>
          <w:color w:val="auto"/>
          <w:highlight w:val="none"/>
          <w:lang w:val="en-US" w:eastAsia="zh-CN"/>
        </w:rPr>
        <w:t>在太阳能资源禀赋较好、建设条件优越、消纳空间充裕、符合生态环境保护等要求的地区，大力发展集中式光伏，加快鄂城区</w:t>
      </w:r>
      <w:r>
        <w:rPr>
          <w:rFonts w:hint="eastAsia" w:ascii="Times New Roman Regular" w:hAnsi="Times New Roman Regular" w:cs="Times New Roman Regular"/>
          <w:color w:val="auto"/>
          <w:highlight w:val="none"/>
          <w:lang w:val="en-US" w:eastAsia="zh-CN"/>
        </w:rPr>
        <w:t>等</w:t>
      </w:r>
      <w:r>
        <w:rPr>
          <w:rFonts w:hint="default" w:ascii="Times New Roman Regular" w:hAnsi="Times New Roman Regular" w:cs="Times New Roman Regular"/>
          <w:color w:val="auto"/>
          <w:highlight w:val="none"/>
          <w:lang w:val="en-US" w:eastAsia="zh-CN"/>
        </w:rPr>
        <w:t>集中式光伏项目建设。因地制宜发展</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光伏+</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综合利用模式，推动渔光互补，实现太阳能发电与农渔业协同发展。</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9"/>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lang w:val="en-US" w:eastAsia="zh-CN"/>
        </w:rPr>
        <w:t>推动光伏多场景融合发展。</w:t>
      </w:r>
      <w:r>
        <w:rPr>
          <w:rFonts w:hint="default" w:ascii="Times New Roman Regular" w:hAnsi="Times New Roman Regular" w:cs="Times New Roman Regular"/>
          <w:b w:val="0"/>
          <w:bCs w:val="0"/>
          <w:color w:val="auto"/>
          <w:highlight w:val="none"/>
          <w:lang w:val="en-US" w:eastAsia="zh-CN"/>
        </w:rPr>
        <w:t>全面推进太阳能发电大规模开发和高质量发展，大力推动太阳能利用</w:t>
      </w:r>
      <w:r>
        <w:rPr>
          <w:rFonts w:hint="default" w:ascii="Times New Roman Regular" w:hAnsi="Times New Roman Regular" w:cs="Times New Roman Regular"/>
          <w:color w:val="auto"/>
          <w:highlight w:val="none"/>
          <w:lang w:val="en-US" w:eastAsia="zh-CN"/>
        </w:rPr>
        <w:t>多元化、规模化、创新化。优先就地就近开发利用，加快鄂城区、葛店经济技术开发区‌等负荷中心及周边地区分布式光伏建设</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积极推动全市公共机构、大型企业、工业园区、经济开发区等建筑屋顶光伏开发利用，</w:t>
      </w:r>
      <w:r>
        <w:rPr>
          <w:rFonts w:hint="eastAsia" w:ascii="Times New Roman Regular" w:hAnsi="Times New Roman Regular" w:cs="Times New Roman Regular"/>
          <w:color w:val="auto"/>
          <w:highlight w:val="none"/>
          <w:lang w:val="en-US" w:eastAsia="zh-CN"/>
        </w:rPr>
        <w:t>支持华容等区通过统筹的方式开发分布式光伏，</w:t>
      </w:r>
      <w:r>
        <w:rPr>
          <w:rFonts w:hint="default" w:ascii="Times New Roman Regular" w:hAnsi="Times New Roman Regular" w:cs="Times New Roman Regular"/>
          <w:color w:val="auto"/>
          <w:highlight w:val="none"/>
          <w:lang w:val="en-US" w:eastAsia="zh-CN"/>
        </w:rPr>
        <w:t>鼓励全市有并网消纳条件的区域发展户用分布式光伏，推广光伏发电与建筑一体化应用。践行</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光伏+交通</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光伏+旅游</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光伏+产业</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发展路径，促进光伏发电与5G基站、大数据中心等信息产业深度融合，拓宽太阳能在充电桩、高速公路服务区、公共建筑等交通与建筑领域的应用空间，促进资源节约集约和能源综合高效利用。</w:t>
      </w:r>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lang w:val="en-US" w:eastAsia="zh-CN"/>
        </w:rPr>
        <w:t>稳妥有序推进风电发展。</w:t>
      </w:r>
      <w:r>
        <w:rPr>
          <w:rFonts w:hint="default" w:ascii="Times New Roman Regular" w:hAnsi="Times New Roman Regular" w:cs="Times New Roman Regular"/>
          <w:color w:val="auto"/>
          <w:highlight w:val="none"/>
          <w:lang w:val="en-US" w:eastAsia="zh-CN"/>
        </w:rPr>
        <w:t>加强要素保障</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持续开展风能资源普查和评价工作，做好政策宣贯工作，增强能源企业投资信心。在严格落实花湖机场净空保护要求的前提下，科学划定风电开发可行区域。积极开展</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千乡万村驭风行动</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，在梁子湖区等符合条件的区域稳妥推进分散式风电项目开发建设。支持风电与文化旅游、生态农业、乡村振兴的有机融合，构建多措并举、多能互补的风电开发模式。</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9"/>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color w:val="auto"/>
          <w:highlight w:val="none"/>
          <w:lang w:val="en-US" w:eastAsia="zh-CN"/>
        </w:rPr>
        <w:t>到2030年，新增</w:t>
      </w:r>
      <w:r>
        <w:rPr>
          <w:rFonts w:hint="eastAsia" w:ascii="Times New Roman Regular" w:hAnsi="Times New Roman Regular" w:cs="Times New Roman Regular"/>
          <w:color w:val="auto"/>
          <w:highlight w:val="none"/>
          <w:lang w:val="en-US" w:eastAsia="zh-CN"/>
        </w:rPr>
        <w:t>光伏</w:t>
      </w:r>
      <w:r>
        <w:rPr>
          <w:rFonts w:hint="default" w:ascii="Times New Roman Regular" w:hAnsi="Times New Roman Regular" w:cs="Times New Roman Regular"/>
          <w:color w:val="auto"/>
          <w:highlight w:val="none"/>
          <w:lang w:val="en-US" w:eastAsia="zh-CN"/>
        </w:rPr>
        <w:t>装机超1</w:t>
      </w:r>
      <w:r>
        <w:rPr>
          <w:rFonts w:hint="eastAsia" w:ascii="Times New Roman Regular" w:hAnsi="Times New Roman Regular" w:cs="Times New Roman Regular"/>
          <w:color w:val="auto"/>
          <w:highlight w:val="none"/>
          <w:lang w:val="en-US" w:eastAsia="zh-CN"/>
        </w:rPr>
        <w:t>4</w:t>
      </w:r>
      <w:r>
        <w:rPr>
          <w:rFonts w:hint="default" w:ascii="Times New Roman Regular" w:hAnsi="Times New Roman Regular" w:cs="Times New Roman Regular"/>
          <w:color w:val="auto"/>
          <w:highlight w:val="none"/>
          <w:lang w:val="en-US" w:eastAsia="zh-CN"/>
        </w:rPr>
        <w:t>0万千瓦，其中集中式光伏新增90万千瓦，分布式光伏新增50万千瓦</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新增</w:t>
      </w:r>
      <w:r>
        <w:rPr>
          <w:rFonts w:hint="eastAsia" w:ascii="Times New Roman Regular" w:hAnsi="Times New Roman Regular" w:cs="Times New Roman Regular"/>
          <w:color w:val="auto"/>
          <w:highlight w:val="none"/>
          <w:lang w:val="en-US" w:eastAsia="zh-CN"/>
        </w:rPr>
        <w:t>风电</w:t>
      </w:r>
      <w:r>
        <w:rPr>
          <w:rFonts w:hint="default" w:ascii="Times New Roman Regular" w:hAnsi="Times New Roman Regular" w:cs="Times New Roman Regular"/>
          <w:color w:val="auto"/>
          <w:highlight w:val="none"/>
          <w:lang w:val="en-US" w:eastAsia="zh-CN"/>
        </w:rPr>
        <w:t>装机</w:t>
      </w:r>
      <w:r>
        <w:rPr>
          <w:rFonts w:hint="eastAsia" w:ascii="Times New Roman Regular" w:hAnsi="Times New Roman Regular" w:cs="Times New Roman Regular"/>
          <w:color w:val="auto"/>
          <w:highlight w:val="none"/>
          <w:lang w:val="en-US" w:eastAsia="zh-CN"/>
        </w:rPr>
        <w:t>7</w:t>
      </w:r>
      <w:r>
        <w:rPr>
          <w:rFonts w:hint="default" w:ascii="Times New Roman Regular" w:hAnsi="Times New Roman Regular" w:cs="Times New Roman Regular"/>
          <w:color w:val="auto"/>
          <w:highlight w:val="none"/>
          <w:lang w:val="en-US" w:eastAsia="zh-CN"/>
        </w:rPr>
        <w:t>万千瓦。</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2" w:type="dxa"/>
            <w:vAlign w:val="center"/>
          </w:tcPr>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560" w:lineRule="exact"/>
              <w:ind w:left="0" w:leftChars="0" w:right="0" w:rightChars="0" w:firstLine="0" w:firstLineChars="0"/>
              <w:jc w:val="center"/>
              <w:textAlignment w:val="center"/>
              <w:rPr>
                <w:rFonts w:hint="default" w:ascii="Times New Roman Regular" w:hAnsi="Times New Roman Regular" w:cs="Times New Roman Regular"/>
                <w:color w:val="auto"/>
                <w:szCs w:val="32"/>
                <w:highlight w:val="none"/>
                <w:vertAlign w:val="baseline"/>
              </w:rPr>
            </w:pPr>
            <w:r>
              <w:rPr>
                <w:rFonts w:hint="default" w:ascii="Times New Roman" w:hAnsi="Times New Roman" w:eastAsia="黑体" w:cs="Times New Roman"/>
                <w:color w:val="auto"/>
                <w:sz w:val="32"/>
                <w:szCs w:val="32"/>
                <w:lang w:val="en-US" w:eastAsia="zh-CN"/>
              </w:rPr>
              <w:t>专栏</w:t>
            </w:r>
            <w:r>
              <w:rPr>
                <w:rFonts w:hint="eastAsia" w:ascii="Times New Roman" w:hAnsi="Times New Roman" w:eastAsia="黑体" w:cs="Times New Roman"/>
                <w:color w:val="auto"/>
                <w:sz w:val="32"/>
                <w:szCs w:val="32"/>
                <w:lang w:val="en-US" w:eastAsia="zh-CN"/>
              </w:rPr>
              <w:t>3</w:t>
            </w:r>
            <w:r>
              <w:rPr>
                <w:rFonts w:hint="default" w:ascii="Times New Roman" w:hAnsi="Times New Roman" w:eastAsia="黑体" w:cs="Times New Roman"/>
                <w:color w:val="auto"/>
                <w:sz w:val="32"/>
                <w:szCs w:val="32"/>
                <w:lang w:val="en-US" w:eastAsia="zh-CN"/>
              </w:rPr>
              <w:t xml:space="preserve">  重点推进新能源项目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2"/>
              <w:numPr>
                <w:ilvl w:val="-1"/>
                <w:numId w:val="0"/>
              </w:numPr>
              <w:autoSpaceDE/>
              <w:autoSpaceDN/>
              <w:spacing w:line="560" w:lineRule="exact"/>
              <w:ind w:firstLine="560" w:firstLineChars="200"/>
              <w:rPr>
                <w:rFonts w:hint="default" w:ascii="Times New Roman" w:hAnsi="Times New Roman" w:eastAsia="CESI黑体-GB2312" w:cs="Times New Roman"/>
                <w:bCs w:val="0"/>
                <w:snapToGrid/>
                <w:color w:val="auto"/>
                <w:kern w:val="2"/>
                <w:sz w:val="28"/>
                <w:szCs w:val="28"/>
                <w:highlight w:val="none"/>
                <w:vertAlign w:val="baseline"/>
                <w:lang w:bidi="ar"/>
              </w:rPr>
            </w:pPr>
            <w:r>
              <w:rPr>
                <w:rFonts w:hint="default" w:ascii="Times New Roman" w:hAnsi="Times New Roman" w:eastAsia="CESI黑体-GB2312" w:cs="Times New Roman"/>
                <w:bCs w:val="0"/>
                <w:snapToGrid/>
                <w:color w:val="auto"/>
                <w:kern w:val="2"/>
                <w:sz w:val="28"/>
                <w:szCs w:val="28"/>
                <w:highlight w:val="none"/>
                <w:vertAlign w:val="baseline"/>
                <w:lang w:val="en-US" w:eastAsia="zh-CN" w:bidi="ar"/>
              </w:rPr>
              <w:t>风光资源集中开发项目</w:t>
            </w:r>
            <w:r>
              <w:rPr>
                <w:rFonts w:hint="eastAsia" w:ascii="Times New Roman" w:hAnsi="Times New Roman" w:eastAsia="CESI黑体-GB2312" w:cs="Times New Roman"/>
                <w:bCs w:val="0"/>
                <w:snapToGrid/>
                <w:color w:val="auto"/>
                <w:kern w:val="2"/>
                <w:sz w:val="28"/>
                <w:szCs w:val="28"/>
                <w:shd w:val="clear"/>
                <w:vertAlign w:val="baseline"/>
                <w:lang w:val="en-US" w:eastAsia="zh-CN" w:bidi="ar"/>
              </w:rPr>
              <w:t>：</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560" w:firstLineChars="200"/>
              <w:textAlignment w:val="baseline"/>
              <w:rPr>
                <w:rFonts w:hint="default" w:ascii="Times New Roman" w:hAnsi="Times New Roman" w:eastAsia="宋体" w:cs="Times New Roman"/>
                <w:bCs w:val="0"/>
                <w:snapToGrid/>
                <w:color w:val="auto"/>
                <w:kern w:val="2"/>
                <w:sz w:val="28"/>
                <w:szCs w:val="28"/>
                <w:highlight w:val="none"/>
                <w:vertAlign w:val="baseline"/>
                <w:lang w:bidi="ar"/>
              </w:rPr>
            </w:pPr>
            <w:r>
              <w:rPr>
                <w:rFonts w:hint="eastAsia" w:eastAsia="宋体" w:cs="Times New Roman"/>
                <w:bCs w:val="0"/>
                <w:snapToGrid/>
                <w:color w:val="auto"/>
                <w:kern w:val="2"/>
                <w:sz w:val="28"/>
                <w:szCs w:val="28"/>
                <w:shd w:val="clear"/>
                <w:vertAlign w:val="baseline"/>
                <w:lang w:val="en-US" w:eastAsia="zh-CN" w:bidi="ar"/>
              </w:rPr>
              <w:t>1.</w:t>
            </w:r>
            <w:r>
              <w:rPr>
                <w:rFonts w:hint="default" w:ascii="Times New Roman" w:hAnsi="Times New Roman" w:eastAsia="宋体" w:cs="Times New Roman"/>
                <w:bCs w:val="0"/>
                <w:snapToGrid/>
                <w:color w:val="auto"/>
                <w:kern w:val="2"/>
                <w:sz w:val="28"/>
                <w:szCs w:val="28"/>
                <w:highlight w:val="none"/>
                <w:vertAlign w:val="baseline"/>
                <w:lang w:bidi="ar"/>
              </w:rPr>
              <w:t>鄂城区长港镇100MW渔光互补光伏发电</w:t>
            </w:r>
            <w:r>
              <w:rPr>
                <w:rFonts w:hint="default" w:ascii="Times New Roman" w:hAnsi="Times New Roman" w:eastAsia="宋体" w:cs="Times New Roman"/>
                <w:bCs w:val="0"/>
                <w:snapToGrid/>
                <w:color w:val="auto"/>
                <w:kern w:val="2"/>
                <w:sz w:val="28"/>
                <w:szCs w:val="28"/>
                <w:highlight w:val="none"/>
                <w:vertAlign w:val="baseline"/>
                <w:lang w:val="en-US" w:eastAsia="zh-CN" w:bidi="ar"/>
              </w:rPr>
              <w:t>项目</w:t>
            </w:r>
            <w:r>
              <w:rPr>
                <w:rFonts w:hint="default" w:ascii="Times New Roman" w:hAnsi="Times New Roman" w:eastAsia="宋体" w:cs="Times New Roman"/>
                <w:bCs w:val="0"/>
                <w:snapToGrid/>
                <w:color w:val="auto"/>
                <w:kern w:val="2"/>
                <w:sz w:val="28"/>
                <w:szCs w:val="28"/>
                <w:highlight w:val="none"/>
                <w:vertAlign w:val="baseline"/>
                <w:lang w:bidi="ar"/>
              </w:rPr>
              <w:t>，装机容量10万千瓦。</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560" w:firstLineChars="200"/>
              <w:textAlignment w:val="baseline"/>
              <w:rPr>
                <w:rFonts w:hint="default" w:ascii="Times New Roman" w:hAnsi="Times New Roman" w:eastAsia="宋体" w:cs="Times New Roman"/>
                <w:bCs w:val="0"/>
                <w:snapToGrid/>
                <w:color w:val="auto"/>
                <w:kern w:val="2"/>
                <w:sz w:val="28"/>
                <w:szCs w:val="28"/>
                <w:highlight w:val="none"/>
                <w:vertAlign w:val="baseline"/>
                <w:lang w:val="en-US" w:eastAsia="zh-CN" w:bidi="ar"/>
              </w:rPr>
            </w:pPr>
            <w:r>
              <w:rPr>
                <w:rFonts w:hint="eastAsia" w:eastAsia="宋体" w:cs="Times New Roman"/>
                <w:bCs w:val="0"/>
                <w:snapToGrid/>
                <w:color w:val="auto"/>
                <w:kern w:val="2"/>
                <w:sz w:val="28"/>
                <w:szCs w:val="28"/>
                <w:shd w:val="clear"/>
                <w:vertAlign w:val="baseline"/>
                <w:lang w:val="en-US" w:eastAsia="zh-CN" w:bidi="ar"/>
              </w:rPr>
              <w:t>2.</w:t>
            </w:r>
            <w:r>
              <w:rPr>
                <w:rFonts w:hint="default" w:ascii="Times New Roman" w:hAnsi="Times New Roman" w:eastAsia="宋体" w:cs="Times New Roman"/>
                <w:bCs w:val="0"/>
                <w:snapToGrid/>
                <w:color w:val="auto"/>
                <w:kern w:val="2"/>
                <w:sz w:val="28"/>
                <w:szCs w:val="28"/>
                <w:highlight w:val="none"/>
                <w:vertAlign w:val="baseline"/>
                <w:lang w:val="en-US" w:eastAsia="zh-CN" w:bidi="ar"/>
              </w:rPr>
              <w:t>鄂州市华容区、鄂城区、梁子湖区集中式光伏项目，合计装机容量80万千瓦。</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560" w:firstLineChars="200"/>
              <w:textAlignment w:val="baseline"/>
              <w:rPr>
                <w:rFonts w:hint="default" w:ascii="Times New Roman" w:hAnsi="Times New Roman" w:eastAsia="宋体" w:cs="Times New Roman"/>
                <w:bCs w:val="0"/>
                <w:snapToGrid/>
                <w:color w:val="auto"/>
                <w:kern w:val="2"/>
                <w:sz w:val="28"/>
                <w:szCs w:val="28"/>
                <w:highlight w:val="none"/>
                <w:vertAlign w:val="baseline"/>
                <w:lang w:bidi="ar"/>
              </w:rPr>
            </w:pPr>
            <w:r>
              <w:rPr>
                <w:rFonts w:hint="eastAsia" w:eastAsia="宋体" w:cs="Times New Roman"/>
                <w:bCs w:val="0"/>
                <w:snapToGrid/>
                <w:color w:val="auto"/>
                <w:kern w:val="2"/>
                <w:sz w:val="28"/>
                <w:szCs w:val="28"/>
                <w:shd w:val="clear"/>
                <w:vertAlign w:val="baseline"/>
                <w:lang w:val="en-US" w:eastAsia="zh-CN" w:bidi="ar"/>
              </w:rPr>
              <w:t>3.</w:t>
            </w:r>
            <w:r>
              <w:rPr>
                <w:rFonts w:hint="default" w:ascii="Times New Roman" w:hAnsi="Times New Roman" w:eastAsia="宋体" w:cs="Times New Roman"/>
                <w:bCs w:val="0"/>
                <w:snapToGrid/>
                <w:color w:val="auto"/>
                <w:kern w:val="2"/>
                <w:sz w:val="28"/>
                <w:szCs w:val="28"/>
                <w:highlight w:val="none"/>
                <w:vertAlign w:val="baseline"/>
                <w:lang w:bidi="ar"/>
              </w:rPr>
              <w:t>梁子湖区驭风行动项目，装机容量7万千瓦。</w:t>
            </w:r>
          </w:p>
          <w:p>
            <w:pPr>
              <w:pStyle w:val="22"/>
              <w:keepNext w:val="0"/>
              <w:keepLines w:val="0"/>
              <w:pageBreakBefore w:val="0"/>
              <w:widowControl/>
              <w:numPr>
                <w:ilvl w:val="-1"/>
                <w:numId w:val="0"/>
              </w:numP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CESI黑体-GB2312" w:cs="Times New Roman"/>
                <w:bCs w:val="0"/>
                <w:snapToGrid/>
                <w:color w:val="auto"/>
                <w:kern w:val="2"/>
                <w:sz w:val="28"/>
                <w:szCs w:val="28"/>
                <w:highlight w:val="none"/>
                <w:vertAlign w:val="baseline"/>
                <w:lang w:val="en-US" w:eastAsia="zh-CN" w:bidi="ar"/>
              </w:rPr>
            </w:pPr>
            <w:r>
              <w:rPr>
                <w:rFonts w:hint="default" w:ascii="Times New Roman" w:hAnsi="Times New Roman" w:eastAsia="CESI黑体-GB2312" w:cs="Times New Roman"/>
                <w:bCs w:val="0"/>
                <w:snapToGrid/>
                <w:color w:val="auto"/>
                <w:kern w:val="2"/>
                <w:sz w:val="28"/>
                <w:szCs w:val="28"/>
                <w:highlight w:val="none"/>
                <w:vertAlign w:val="baseline"/>
                <w:lang w:val="en-US" w:eastAsia="zh-CN" w:bidi="ar"/>
              </w:rPr>
              <w:t>分布式利用融合发展项目</w:t>
            </w:r>
            <w:r>
              <w:rPr>
                <w:rFonts w:hint="default" w:ascii="Times New Roman" w:hAnsi="Times New Roman" w:eastAsia="CESI黑体-GB2312" w:cs="Times New Roman"/>
                <w:bCs w:val="0"/>
                <w:snapToGrid/>
                <w:color w:val="auto"/>
                <w:kern w:val="2"/>
                <w:sz w:val="28"/>
                <w:szCs w:val="28"/>
                <w:shd w:val="clear"/>
                <w:vertAlign w:val="baseline"/>
                <w:lang w:val="en-US" w:eastAsia="zh-CN" w:bidi="ar"/>
              </w:rPr>
              <w:t>：</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560" w:firstLineChars="200"/>
              <w:textAlignment w:val="baseline"/>
              <w:rPr>
                <w:rFonts w:hint="default" w:ascii="Times New Roman" w:hAnsi="Times New Roman" w:eastAsia="宋体" w:cs="Times New Roman"/>
                <w:bCs w:val="0"/>
                <w:snapToGrid/>
                <w:color w:val="auto"/>
                <w:kern w:val="2"/>
                <w:sz w:val="28"/>
                <w:szCs w:val="28"/>
                <w:highlight w:val="none"/>
                <w:vertAlign w:val="baseline"/>
                <w:lang w:eastAsia="zh-CN" w:bidi="ar"/>
              </w:rPr>
            </w:pPr>
            <w:r>
              <w:rPr>
                <w:rFonts w:hint="eastAsia" w:eastAsia="宋体" w:cs="Times New Roman"/>
                <w:bCs w:val="0"/>
                <w:snapToGrid/>
                <w:color w:val="auto"/>
                <w:kern w:val="2"/>
                <w:sz w:val="28"/>
                <w:szCs w:val="28"/>
                <w:shd w:val="clear"/>
                <w:vertAlign w:val="baseline"/>
                <w:lang w:val="en-US" w:eastAsia="zh-CN" w:bidi="ar"/>
              </w:rPr>
              <w:t>1.</w:t>
            </w:r>
            <w:r>
              <w:rPr>
                <w:rFonts w:hint="default" w:ascii="Times New Roman" w:hAnsi="Times New Roman" w:eastAsia="宋体" w:cs="Times New Roman"/>
                <w:bCs w:val="0"/>
                <w:snapToGrid/>
                <w:color w:val="auto"/>
                <w:kern w:val="2"/>
                <w:sz w:val="28"/>
                <w:szCs w:val="28"/>
                <w:highlight w:val="none"/>
                <w:vertAlign w:val="baseline"/>
                <w:lang w:bidi="ar"/>
              </w:rPr>
              <w:t>花湖机场光伏项目</w:t>
            </w:r>
            <w:r>
              <w:rPr>
                <w:rFonts w:hint="default" w:ascii="Times New Roman" w:hAnsi="Times New Roman" w:eastAsia="宋体" w:cs="Times New Roman"/>
                <w:bCs w:val="0"/>
                <w:snapToGrid/>
                <w:color w:val="auto"/>
                <w:kern w:val="2"/>
                <w:sz w:val="28"/>
                <w:szCs w:val="28"/>
                <w:highlight w:val="none"/>
                <w:vertAlign w:val="baseline"/>
                <w:lang w:eastAsia="zh-CN" w:bidi="ar"/>
              </w:rPr>
              <w:t>，</w:t>
            </w:r>
            <w:r>
              <w:rPr>
                <w:rFonts w:hint="default" w:ascii="Times New Roman" w:hAnsi="Times New Roman" w:eastAsia="宋体" w:cs="Times New Roman"/>
                <w:bCs w:val="0"/>
                <w:snapToGrid/>
                <w:color w:val="auto"/>
                <w:kern w:val="2"/>
                <w:sz w:val="28"/>
                <w:szCs w:val="28"/>
                <w:highlight w:val="none"/>
                <w:vertAlign w:val="baseline"/>
                <w:lang w:val="en-US" w:eastAsia="zh-CN" w:bidi="ar"/>
              </w:rPr>
              <w:t>在</w:t>
            </w:r>
            <w:r>
              <w:rPr>
                <w:rFonts w:hint="default" w:ascii="Times New Roman" w:hAnsi="Times New Roman" w:eastAsia="宋体" w:cs="Times New Roman"/>
                <w:bCs w:val="0"/>
                <w:snapToGrid/>
                <w:color w:val="auto"/>
                <w:kern w:val="2"/>
                <w:sz w:val="28"/>
                <w:szCs w:val="28"/>
                <w:highlight w:val="none"/>
                <w:vertAlign w:val="baseline"/>
                <w:lang w:eastAsia="zh-CN" w:bidi="ar"/>
              </w:rPr>
              <w:t>货运站、航站楼、综合楼等建筑屋顶布设光伏面板，在综合业务楼、倒班宿舍楼立面布设光伏幕墙，打造机场分布式光伏与建筑光伏一体化（BIPV）示范。</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560" w:firstLineChars="200"/>
              <w:textAlignment w:val="baseline"/>
              <w:rPr>
                <w:rFonts w:hint="default" w:ascii="Times New Roman Regular" w:hAnsi="Times New Roman Regular" w:cs="Times New Roman Regular"/>
                <w:color w:val="auto"/>
                <w:szCs w:val="32"/>
                <w:highlight w:val="none"/>
                <w:vertAlign w:val="baseline"/>
              </w:rPr>
            </w:pPr>
            <w:r>
              <w:rPr>
                <w:rFonts w:hint="eastAsia" w:eastAsia="宋体" w:cs="Times New Roman"/>
                <w:bCs w:val="0"/>
                <w:snapToGrid/>
                <w:color w:val="auto"/>
                <w:kern w:val="2"/>
                <w:sz w:val="28"/>
                <w:szCs w:val="28"/>
                <w:shd w:val="clear"/>
                <w:vertAlign w:val="baseline"/>
                <w:lang w:val="en-US" w:eastAsia="zh-CN" w:bidi="ar"/>
              </w:rPr>
              <w:t>2.</w:t>
            </w:r>
            <w:r>
              <w:rPr>
                <w:rFonts w:hint="default" w:ascii="Times New Roman" w:hAnsi="Times New Roman" w:eastAsia="宋体" w:cs="Times New Roman"/>
                <w:bCs w:val="0"/>
                <w:snapToGrid/>
                <w:color w:val="auto"/>
                <w:kern w:val="2"/>
                <w:sz w:val="28"/>
                <w:szCs w:val="28"/>
                <w:highlight w:val="none"/>
                <w:vertAlign w:val="baseline"/>
                <w:lang w:eastAsia="zh-CN" w:bidi="ar"/>
              </w:rPr>
              <w:t>华容区公共机构屋顶分布式光伏项目，利用党政机关、水厂等公共机构屋顶闲置空间建设分布式光伏，降低公共机构用能成本、减少碳排放。</w:t>
            </w:r>
          </w:p>
        </w:tc>
      </w:tr>
    </w:tbl>
    <w:p>
      <w:pPr>
        <w:pStyle w:val="22"/>
        <w:numPr>
          <w:ilvl w:val="0"/>
          <w:numId w:val="4"/>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75" w:name="_Toc4558"/>
      <w:bookmarkStart w:id="76" w:name="_Toc20820"/>
      <w:bookmarkStart w:id="77" w:name="_Toc20408"/>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因地制宜推动生物质利用</w:t>
      </w:r>
      <w:bookmarkEnd w:id="75"/>
      <w:bookmarkEnd w:id="76"/>
      <w:bookmarkEnd w:id="77"/>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szCs w:val="32"/>
          <w:highlight w:val="none"/>
        </w:rPr>
      </w:pPr>
      <w:r>
        <w:rPr>
          <w:rFonts w:hint="eastAsia" w:ascii="Times New Roman Regular" w:hAnsi="Times New Roman Regular" w:cs="Times New Roman Regular"/>
          <w:color w:val="auto"/>
          <w:szCs w:val="32"/>
          <w:highlight w:val="none"/>
          <w:lang w:val="en-US" w:eastAsia="zh-CN"/>
        </w:rPr>
        <w:t>鼓励开发生物质热电联产，在工业热负荷集中、用能需求稳定的</w:t>
      </w:r>
      <w:r>
        <w:rPr>
          <w:rFonts w:hint="default" w:ascii="Times New Roman Regular" w:hAnsi="Times New Roman Regular" w:cs="Times New Roman Regular"/>
          <w:color w:val="auto"/>
          <w:highlight w:val="none"/>
          <w:lang w:val="en-US" w:eastAsia="zh-CN"/>
        </w:rPr>
        <w:t>葛店经济技术开发区</w:t>
      </w:r>
      <w:r>
        <w:rPr>
          <w:rFonts w:hint="eastAsia" w:ascii="Times New Roman Regular" w:hAnsi="Times New Roman Regular" w:cs="Times New Roman Regular"/>
          <w:color w:val="auto"/>
          <w:szCs w:val="32"/>
          <w:highlight w:val="none"/>
          <w:lang w:val="en-US" w:eastAsia="zh-CN"/>
        </w:rPr>
        <w:t>、临空经济区等重点园区，规划建设生物质热电联产项目，满足园区供能需求。推动鄂州市生活垃圾焚烧发电项目建设，促进全市垃圾焚烧发电项目稳产达效结合煤电机组低碳化改造，积极探索鄂州电厂开展生物质掺烧发电试点。在规模化畜禽养殖场和具备条件的城市污水处理厂推广建设沼气发电工程。推动沼气纯化制备生物天然气，探索并入管网或作为交通燃料使用，支持将沼渣沼液转化为优质有机肥，构建“养殖—沼气—种植”农业循环链条，实现污染治理、能源回收与土壤改良的多重效益。</w:t>
      </w:r>
    </w:p>
    <w:p>
      <w:pPr>
        <w:pStyle w:val="22"/>
        <w:numPr>
          <w:ilvl w:val="0"/>
          <w:numId w:val="4"/>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78" w:name="_Toc9488"/>
      <w:bookmarkStart w:id="79" w:name="_Toc24160"/>
      <w:bookmarkStart w:id="80" w:name="_Toc25459"/>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强化综合能源利用</w:t>
      </w:r>
      <w:bookmarkEnd w:id="78"/>
      <w:bookmarkEnd w:id="79"/>
      <w:bookmarkEnd w:id="80"/>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szCs w:val="32"/>
          <w:highlight w:val="none"/>
        </w:rPr>
      </w:pPr>
      <w:r>
        <w:rPr>
          <w:rFonts w:hint="default" w:ascii="Times New Roman Regular" w:hAnsi="Times New Roman Regular" w:cs="Times New Roman Regular"/>
          <w:color w:val="auto"/>
          <w:szCs w:val="32"/>
          <w:highlight w:val="none"/>
        </w:rPr>
        <w:t>以智能化源网荷储全产业链为基础，构建电、热、油气、光等多种能源型式综合一体发展与利用，发展分布式能源及储能技术。支持通过源网荷储一体化项目建设打造</w:t>
      </w:r>
      <w:r>
        <w:rPr>
          <w:rFonts w:hint="eastAsia" w:ascii="Times New Roman Regular" w:hAnsi="Times New Roman Regular" w:cs="Times New Roman Regular"/>
          <w:color w:val="auto"/>
          <w:szCs w:val="32"/>
          <w:highlight w:val="none"/>
          <w:lang w:val="en-US" w:eastAsia="zh-CN"/>
        </w:rPr>
        <w:t>低碳、</w:t>
      </w:r>
      <w:r>
        <w:rPr>
          <w:rFonts w:hint="eastAsia"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零碳</w:t>
      </w:r>
      <w:r>
        <w:rPr>
          <w:rFonts w:hint="eastAsia"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产业园区、鼓励在大型企业、大型公用设施和商务区等建设多能互补、高效存储、</w:t>
      </w:r>
      <w:r>
        <w:rPr>
          <w:rFonts w:hint="eastAsia" w:ascii="Times New Roman Regular" w:hAnsi="Times New Roman Regular" w:cs="Times New Roman Regular"/>
          <w:color w:val="auto"/>
          <w:szCs w:val="32"/>
          <w:highlight w:val="none"/>
          <w:lang w:val="en-US" w:eastAsia="zh-CN"/>
        </w:rPr>
        <w:t>智能</w:t>
      </w:r>
      <w:r>
        <w:rPr>
          <w:rFonts w:hint="default" w:ascii="Times New Roman Regular" w:hAnsi="Times New Roman Regular" w:cs="Times New Roman Regular"/>
          <w:color w:val="auto"/>
          <w:szCs w:val="32"/>
          <w:highlight w:val="none"/>
        </w:rPr>
        <w:t>协调的综合能源服务站，</w:t>
      </w:r>
      <w:r>
        <w:rPr>
          <w:rFonts w:hint="eastAsia" w:ascii="Times New Roman Regular" w:hAnsi="Times New Roman Regular" w:cs="Times New Roman Regular"/>
          <w:color w:val="auto"/>
          <w:szCs w:val="32"/>
          <w:highlight w:val="none"/>
          <w:lang w:val="en-US" w:eastAsia="zh-CN"/>
        </w:rPr>
        <w:t>统筹</w:t>
      </w:r>
      <w:r>
        <w:rPr>
          <w:rFonts w:hint="default" w:ascii="Times New Roman Regular" w:hAnsi="Times New Roman Regular" w:cs="Times New Roman Regular"/>
          <w:color w:val="auto"/>
          <w:szCs w:val="32"/>
          <w:highlight w:val="none"/>
        </w:rPr>
        <w:t>发展新能源数字化运营系统、绿色数据中心等能源互联网和智慧用能新模式，开拓</w:t>
      </w:r>
      <w:r>
        <w:rPr>
          <w:rFonts w:hint="eastAsia"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新能源+</w:t>
      </w:r>
      <w:r>
        <w:rPr>
          <w:rFonts w:hint="eastAsia"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产销一体化发展模式，</w:t>
      </w:r>
      <w:r>
        <w:rPr>
          <w:rFonts w:hint="eastAsia"/>
          <w:color w:val="auto"/>
          <w:highlight w:val="none"/>
        </w:rPr>
        <w:t>培育建设一批零碳工厂、零碳园区。</w:t>
      </w:r>
      <w:r>
        <w:rPr>
          <w:rFonts w:hint="eastAsia"/>
          <w:strike w:val="0"/>
          <w:dstrike w:val="0"/>
          <w:color w:val="auto"/>
          <w:highlight w:val="none"/>
          <w:lang w:val="en-US" w:eastAsia="zh-CN"/>
        </w:rPr>
        <w:t>支持</w:t>
      </w:r>
      <w:r>
        <w:rPr>
          <w:rFonts w:hint="default" w:ascii="Times New Roman Regular" w:hAnsi="Times New Roman Regular" w:cs="Times New Roman Regular"/>
          <w:color w:val="auto"/>
          <w:szCs w:val="32"/>
          <w:highlight w:val="none"/>
        </w:rPr>
        <w:t>打造主体多元化、领域多样化、服务专业化的综合能源服务新业态。</w:t>
      </w:r>
    </w:p>
    <w:p>
      <w:pPr>
        <w:pStyle w:val="22"/>
        <w:numPr>
          <w:ilvl w:val="0"/>
          <w:numId w:val="2"/>
        </w:numPr>
        <w:autoSpaceDE/>
        <w:autoSpaceDN/>
        <w:spacing w:line="560" w:lineRule="exact"/>
        <w:ind w:firstLine="640" w:firstLineChars="200"/>
        <w:outlineLvl w:val="0"/>
        <w:rPr>
          <w:rFonts w:hint="eastAsia" w:ascii="黑体" w:hAnsi="黑体" w:eastAsia="黑体" w:cs="黑体"/>
          <w:i w:val="0"/>
          <w:iCs w:val="0"/>
          <w:caps w:val="0"/>
          <w:color w:val="auto"/>
          <w:spacing w:val="0"/>
          <w:sz w:val="32"/>
          <w:szCs w:val="23"/>
          <w:highlight w:val="none"/>
          <w:shd w:val="clear" w:fill="FFFFFF"/>
          <w:lang w:val="en-US" w:eastAsia="zh-CN"/>
        </w:rPr>
      </w:pPr>
      <w:bookmarkStart w:id="81" w:name="_Toc18682"/>
      <w:bookmarkStart w:id="82" w:name="_Toc5693"/>
      <w:bookmarkStart w:id="83" w:name="_Toc3847"/>
      <w:r>
        <w:rPr>
          <w:rFonts w:hint="eastAsia" w:ascii="黑体" w:hAnsi="黑体" w:eastAsia="黑体" w:cs="黑体"/>
          <w:i w:val="0"/>
          <w:iCs w:val="0"/>
          <w:caps w:val="0"/>
          <w:color w:val="auto"/>
          <w:spacing w:val="0"/>
          <w:sz w:val="32"/>
          <w:szCs w:val="23"/>
          <w:highlight w:val="none"/>
          <w:shd w:val="clear" w:fill="FFFFFF"/>
          <w:lang w:val="en-US" w:eastAsia="zh-CN"/>
        </w:rPr>
        <w:t>加快建设新型电力系统，强化供电保障能力</w:t>
      </w:r>
      <w:bookmarkEnd w:id="81"/>
      <w:bookmarkEnd w:id="82"/>
      <w:bookmarkEnd w:id="83"/>
    </w:p>
    <w:p>
      <w:pPr>
        <w:pStyle w:val="22"/>
        <w:numPr>
          <w:ilvl w:val="0"/>
          <w:numId w:val="5"/>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84" w:name="_Toc8846"/>
      <w:bookmarkStart w:id="85" w:name="_Toc14498"/>
      <w:bookmarkStart w:id="86" w:name="_Toc16557"/>
      <w:r>
        <w:rPr>
          <w:rFonts w:hint="eastAsia" w:ascii="楷体_GB2312" w:hAnsi="楷体_GB2312" w:eastAsia="楷体_GB2312" w:cs="楷体_GB2312"/>
          <w:b w:val="0"/>
          <w:bCs w:val="0"/>
          <w:color w:val="auto"/>
          <w:szCs w:val="32"/>
          <w:highlight w:val="none"/>
          <w:lang w:val="en-US" w:eastAsia="zh-CN"/>
        </w:rPr>
        <w:t>打造坚强可靠主网</w:t>
      </w:r>
      <w:bookmarkEnd w:id="84"/>
      <w:bookmarkEnd w:id="85"/>
      <w:bookmarkEnd w:id="86"/>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加强超高压电网建设。</w:t>
      </w:r>
      <w:r>
        <w:rPr>
          <w:rFonts w:hint="eastAsia" w:ascii="Times New Roman Regular" w:hAnsi="Times New Roman Regular" w:cs="Times New Roman Regular"/>
          <w:b w:val="0"/>
          <w:bCs/>
          <w:color w:val="auto"/>
          <w:szCs w:val="32"/>
          <w:highlight w:val="none"/>
          <w:lang w:val="en-US" w:eastAsia="zh-CN"/>
        </w:rPr>
        <w:t>积极融入全省电力发展格局，增强鄂东负荷中心电力供应可靠性。</w:t>
      </w:r>
      <w:r>
        <w:rPr>
          <w:rFonts w:hint="eastAsia" w:ascii="Times New Roman Regular" w:hAnsi="Times New Roman Regular" w:cs="Times New Roman Regular"/>
          <w:color w:val="auto"/>
          <w:szCs w:val="32"/>
          <w:highlight w:val="none"/>
          <w:lang w:val="en-US" w:eastAsia="zh-CN"/>
        </w:rPr>
        <w:t>打造可靠500千伏超高压环网，完善区域500千伏双环网结构。重点推进500千伏吴都变电站扩建工程，变电容量提升至2×100万千伏安，畅通电力输送主通道，优化鄂州电厂外送通道，最大限度满足新建火电和新能源发电项目并网和消纳需求，改善电力送出条件。</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完善坚强韧性网架结构。</w:t>
      </w:r>
      <w:r>
        <w:rPr>
          <w:rFonts w:hint="eastAsia" w:ascii="Times New Roman Regular" w:hAnsi="Times New Roman Regular" w:cs="Times New Roman Regular"/>
          <w:color w:val="auto"/>
          <w:szCs w:val="32"/>
          <w:highlight w:val="none"/>
          <w:lang w:val="en-US" w:eastAsia="zh-CN"/>
        </w:rPr>
        <w:t>补强220千伏主干网构架，提高电网互供互济能力，提升新能源接入和消纳水平，构建网架坚强、分区清晰的骨干网架。加速推进220千伏鸭儿湖变电站建设，满足红莲湖片区产业园负荷增长需求；适时推进220千伏司徒变电站建设，为花湖机场综合保税区、临空产业集群等新增负荷提供接入点和电源，满足区域用电需要。推进220千伏葛店和梁子湖变电站工程建设，保障区域供电可靠性；加快实施220千伏郎家畈变电站改造增容。</w:t>
      </w:r>
      <w:r>
        <w:rPr>
          <w:rFonts w:hint="eastAsia"/>
          <w:color w:val="auto"/>
          <w:highlight w:val="none"/>
        </w:rPr>
        <w:t>综合考虑负荷密度、空间资源及上下级电网结构完善110千伏变电站布点及规模</w:t>
      </w:r>
      <w:r>
        <w:rPr>
          <w:rFonts w:hint="eastAsia"/>
          <w:color w:val="auto"/>
          <w:highlight w:val="none"/>
          <w:lang w:eastAsia="zh-CN"/>
        </w:rPr>
        <w:t>。</w:t>
      </w:r>
      <w:r>
        <w:rPr>
          <w:rFonts w:hint="eastAsia" w:ascii="Times New Roman Regular" w:hAnsi="Times New Roman Regular" w:cs="Times New Roman Regular"/>
          <w:color w:val="auto"/>
          <w:szCs w:val="32"/>
          <w:highlight w:val="none"/>
          <w:lang w:val="en-US" w:eastAsia="zh-CN"/>
        </w:rPr>
        <w:t>到2030年，全市累计建成220千伏变电站10座，变电容量达到369万千伏安。</w:t>
      </w:r>
    </w:p>
    <w:p>
      <w:pPr>
        <w:pStyle w:val="22"/>
        <w:numPr>
          <w:ilvl w:val="0"/>
          <w:numId w:val="5"/>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87" w:name="_Toc31166"/>
      <w:bookmarkStart w:id="88" w:name="_Toc12513"/>
      <w:bookmarkStart w:id="89" w:name="_Toc21270"/>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打造智能可靠配网</w:t>
      </w:r>
      <w:bookmarkEnd w:id="87"/>
      <w:bookmarkEnd w:id="88"/>
      <w:bookmarkEnd w:id="89"/>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color w:val="auto"/>
          <w:highlight w:val="none"/>
          <w:lang w:eastAsia="zh-CN"/>
        </w:rPr>
      </w:pPr>
      <w:r>
        <w:rPr>
          <w:rFonts w:hint="eastAsia" w:ascii="Times New Roman Regular" w:hAnsi="Times New Roman Regular" w:cs="Times New Roman Regular"/>
          <w:b/>
          <w:bCs w:val="0"/>
          <w:color w:val="auto"/>
          <w:szCs w:val="32"/>
          <w:highlight w:val="none"/>
          <w:lang w:val="en-US" w:eastAsia="zh-CN"/>
        </w:rPr>
        <w:t>全面提升供电保障能力。</w:t>
      </w:r>
      <w:bookmarkStart w:id="90" w:name="OLE_LINK12"/>
      <w:r>
        <w:rPr>
          <w:rFonts w:hint="eastAsia" w:ascii="Times New Roman Regular" w:hAnsi="Times New Roman Regular" w:cs="Times New Roman Regular"/>
          <w:color w:val="auto"/>
          <w:szCs w:val="32"/>
          <w:highlight w:val="none"/>
          <w:lang w:val="en-US" w:eastAsia="zh-CN"/>
        </w:rPr>
        <w:t>适度超前规划配电站布点，优化电网设施布局，全面推动新一轮网架优化补强工程，</w:t>
      </w:r>
      <w:bookmarkEnd w:id="90"/>
      <w:r>
        <w:rPr>
          <w:rFonts w:hint="eastAsia" w:ascii="Times New Roman Regular" w:hAnsi="Times New Roman Regular" w:cs="Times New Roman Regular"/>
          <w:color w:val="auto"/>
          <w:szCs w:val="32"/>
          <w:highlight w:val="none"/>
          <w:lang w:val="en-US" w:eastAsia="zh-CN"/>
        </w:rPr>
        <w:t>打造分段合理、联络有效、负荷均衡的标准接线模式。围绕中心城区、工业园区及重大项目用电需求，实施</w:t>
      </w:r>
      <w:r>
        <w:rPr>
          <w:rFonts w:hint="default" w:ascii="Times New Roman Regular" w:hAnsi="Times New Roman Regular" w:cs="Times New Roman Regular"/>
          <w:color w:val="auto"/>
          <w:highlight w:val="none"/>
        </w:rPr>
        <w:t>城网</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网格化</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、农网</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精细化</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规划建设</w:t>
      </w:r>
      <w:r>
        <w:rPr>
          <w:rFonts w:hint="eastAsia" w:ascii="Times New Roman Regular" w:hAnsi="Times New Roman Regular" w:cs="Times New Roman Regular"/>
          <w:color w:val="auto"/>
          <w:highlight w:val="none"/>
          <w:lang w:eastAsia="zh-CN"/>
        </w:rPr>
        <w:t>。加快推进农村电网巩固提升工程，完善农村电网网架结构，加强</w:t>
      </w:r>
      <w:r>
        <w:rPr>
          <w:rFonts w:hint="eastAsia" w:ascii="Times New Roman Regular" w:hAnsi="Times New Roman Regular" w:cs="Times New Roman Regular"/>
          <w:color w:val="auto"/>
          <w:highlight w:val="none"/>
          <w:lang w:val="en-US" w:eastAsia="zh-CN"/>
        </w:rPr>
        <w:t>市</w:t>
      </w:r>
      <w:r>
        <w:rPr>
          <w:rFonts w:hint="eastAsia" w:ascii="Times New Roman Regular" w:hAnsi="Times New Roman Regular" w:cs="Times New Roman Regular"/>
          <w:color w:val="auto"/>
          <w:highlight w:val="none"/>
          <w:lang w:eastAsia="zh-CN"/>
        </w:rPr>
        <w:t>域电网与主网联系，稳妥推进大电网延伸覆盖，全面提高户均配变容量和</w:t>
      </w:r>
      <w:r>
        <w:rPr>
          <w:rFonts w:hint="eastAsia" w:ascii="Times New Roman Regular" w:hAnsi="Times New Roman Regular" w:cs="Times New Roman Regular"/>
          <w:color w:val="auto"/>
          <w:highlight w:val="none"/>
          <w:lang w:val="en-US" w:eastAsia="zh-CN"/>
        </w:rPr>
        <w:t>电能</w:t>
      </w:r>
      <w:r>
        <w:rPr>
          <w:rFonts w:hint="eastAsia" w:ascii="Times New Roman Regular" w:hAnsi="Times New Roman Regular" w:cs="Times New Roman Regular"/>
          <w:color w:val="auto"/>
          <w:highlight w:val="none"/>
          <w:lang w:eastAsia="zh-CN"/>
        </w:rPr>
        <w:t>质量。科学补强配电网薄弱环节，针对性开展供电可靠性提升改造，全面提升供电保障能力。</w:t>
      </w:r>
      <w:r>
        <w:rPr>
          <w:rFonts w:hint="eastAsia" w:ascii="Times New Roman Regular" w:hAnsi="Times New Roman Regular" w:cs="Times New Roman Regular"/>
          <w:color w:val="auto"/>
          <w:highlight w:val="none"/>
          <w:lang w:val="en-US" w:eastAsia="zh-CN"/>
        </w:rPr>
        <w:t>到2030年，力争实现用户平均停电时间较十四五末降低80%</w:t>
      </w:r>
      <w:r>
        <w:rPr>
          <w:rFonts w:hint="eastAsia" w:ascii="Times New Roman Regular" w:hAnsi="Times New Roman Regular" w:cs="Times New Roman Regular"/>
          <w:color w:val="auto"/>
          <w:highlight w:val="none"/>
          <w:lang w:eastAsia="zh-CN"/>
        </w:rPr>
        <w:t>，探索打造兼具高适应性、高可靠性的梁子岛智能柔性互动配电网示范区。</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color w:val="auto"/>
          <w:highlight w:val="none"/>
          <w:lang w:val="en-US" w:eastAsia="zh-CN"/>
        </w:rPr>
      </w:pPr>
      <w:r>
        <w:rPr>
          <w:rFonts w:hint="eastAsia" w:ascii="Times New Roman Regular" w:hAnsi="Times New Roman Regular" w:cs="Times New Roman Regular"/>
          <w:b/>
          <w:bCs w:val="0"/>
          <w:color w:val="auto"/>
          <w:highlight w:val="none"/>
          <w:lang w:val="en-US" w:eastAsia="zh-CN"/>
        </w:rPr>
        <w:t>提升配电网承载能力。</w:t>
      </w:r>
      <w:r>
        <w:rPr>
          <w:rFonts w:hint="eastAsia" w:ascii="Times New Roman Regular" w:hAnsi="Times New Roman Regular" w:cs="Times New Roman Regular"/>
          <w:color w:val="auto"/>
          <w:highlight w:val="none"/>
          <w:lang w:val="en-US" w:eastAsia="zh-CN"/>
        </w:rPr>
        <w:t>进一步拓展网络通信、大数据、自动控制等技术的应用范围，持续提升配电自动化有效覆盖率，提升配电网对新增负荷、分布式电源的承载能力和适应能力。围绕分布式新能源广泛接入、电动汽车充电基础设施体系建设、新型储能多元发展、算力大数据等新兴负荷发展需要，适度超前加快配电网建设改造和智能化升级。优化电网</w:t>
      </w:r>
      <w:r>
        <w:rPr>
          <w:rFonts w:hint="default" w:ascii="Times New Roman Regular" w:hAnsi="Times New Roman Regular" w:cs="Times New Roman Regular"/>
          <w:color w:val="auto"/>
          <w:highlight w:val="none"/>
          <w:lang w:val="en-US" w:eastAsia="zh-CN"/>
        </w:rPr>
        <w:t>安全稳定控制系统配置</w:t>
      </w:r>
      <w:r>
        <w:rPr>
          <w:rFonts w:hint="eastAsia" w:ascii="Times New Roman Regular" w:hAnsi="Times New Roman Regular" w:cs="Times New Roman Regular"/>
          <w:color w:val="auto"/>
          <w:highlight w:val="none"/>
          <w:lang w:val="en-US" w:eastAsia="zh-CN"/>
        </w:rPr>
        <w:t>，提升电压、频率调节支撑能力，全面提升电网开放接入、灵活控制和抗扰动能力。</w:t>
      </w:r>
      <w:bookmarkStart w:id="91" w:name="OLE_LINK14"/>
      <w:r>
        <w:rPr>
          <w:rFonts w:hint="eastAsia" w:ascii="Times New Roman Regular" w:hAnsi="Times New Roman Regular" w:cs="Times New Roman Regular"/>
          <w:color w:val="auto"/>
          <w:highlight w:val="none"/>
          <w:lang w:val="en-US" w:eastAsia="zh-CN"/>
        </w:rPr>
        <w:t>支持分布式智能微电网建设，提升接入互动与柔性控制能力，满足高质量和个性化用电需求。</w:t>
      </w:r>
      <w:bookmarkEnd w:id="91"/>
      <w:bookmarkStart w:id="92" w:name="OLE_LINK13"/>
      <w:r>
        <w:rPr>
          <w:rFonts w:hint="eastAsia" w:ascii="Times New Roman Regular" w:hAnsi="Times New Roman Regular" w:cs="Times New Roman Regular"/>
          <w:color w:val="auto"/>
          <w:highlight w:val="none"/>
          <w:lang w:val="en-US" w:eastAsia="zh-CN"/>
        </w:rPr>
        <w:t>强化源网荷储协同发展，推动配电网向“</w:t>
      </w:r>
      <w:r>
        <w:rPr>
          <w:rFonts w:hint="default" w:ascii="Times New Roman Regular" w:hAnsi="Times New Roman Regular" w:cs="Times New Roman Regular"/>
          <w:color w:val="auto"/>
          <w:highlight w:val="none"/>
          <w:lang w:val="en-US" w:eastAsia="zh-CN"/>
        </w:rPr>
        <w:t>有源</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双向交互系统转变，具备源网荷储资源的高效配置平台功能</w:t>
      </w:r>
      <w:r>
        <w:rPr>
          <w:rFonts w:hint="eastAsia" w:ascii="Times New Roman Regular" w:hAnsi="Times New Roman Regular" w:cs="Times New Roman Regular"/>
          <w:color w:val="auto"/>
          <w:highlight w:val="none"/>
          <w:lang w:val="en-US" w:eastAsia="zh-CN"/>
        </w:rPr>
        <w:t>。优化电网调度管理，在确保安全运行的前提下，推动调度决策从“源随荷动”向“源网荷储”互动转变。</w:t>
      </w:r>
      <w:bookmarkEnd w:id="92"/>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2" w:type="dxa"/>
            <w:vAlign w:val="center"/>
          </w:tcPr>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560" w:lineRule="exact"/>
              <w:ind w:left="0" w:leftChars="0" w:right="0" w:rightChars="0" w:firstLine="0" w:firstLineChars="0"/>
              <w:jc w:val="center"/>
              <w:textAlignment w:val="center"/>
              <w:rPr>
                <w:rFonts w:hint="default" w:ascii="Times New Roman Regular" w:hAnsi="Times New Roman Regular" w:cs="Times New Roman Regular"/>
                <w:color w:val="auto"/>
                <w:szCs w:val="32"/>
                <w:highlight w:val="none"/>
                <w:vertAlign w:val="baseline"/>
              </w:rPr>
            </w:pPr>
            <w:r>
              <w:rPr>
                <w:rFonts w:hint="eastAsia" w:ascii="Times New Roman" w:hAnsi="Times New Roman" w:eastAsia="黑体" w:cs="Times New Roman"/>
                <w:color w:val="auto"/>
                <w:sz w:val="32"/>
                <w:szCs w:val="32"/>
                <w:lang w:val="en-US" w:eastAsia="zh-CN"/>
              </w:rPr>
              <w:br w:type="page"/>
            </w:r>
            <w:r>
              <w:rPr>
                <w:rFonts w:hint="default" w:ascii="Times New Roman" w:hAnsi="Times New Roman" w:eastAsia="黑体" w:cs="Times New Roman"/>
                <w:color w:val="auto"/>
                <w:sz w:val="32"/>
                <w:szCs w:val="32"/>
                <w:lang w:val="en-US" w:eastAsia="zh-CN"/>
              </w:rPr>
              <w:t>专栏</w:t>
            </w:r>
            <w:r>
              <w:rPr>
                <w:rFonts w:hint="eastAsia"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lang w:val="en-US" w:eastAsia="zh-CN"/>
              </w:rPr>
              <w:t xml:space="preserve">  重点推进</w:t>
            </w:r>
            <w:r>
              <w:rPr>
                <w:rFonts w:hint="eastAsia" w:ascii="Times New Roman" w:hAnsi="Times New Roman" w:eastAsia="黑体" w:cs="Times New Roman"/>
                <w:color w:val="auto"/>
                <w:sz w:val="32"/>
                <w:szCs w:val="32"/>
                <w:lang w:val="en-US" w:eastAsia="zh-CN"/>
              </w:rPr>
              <w:t>电网</w:t>
            </w:r>
            <w:r>
              <w:rPr>
                <w:rFonts w:hint="default" w:ascii="Times New Roman" w:hAnsi="Times New Roman" w:eastAsia="黑体" w:cs="Times New Roman"/>
                <w:color w:val="auto"/>
                <w:sz w:val="32"/>
                <w:szCs w:val="32"/>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22"/>
              <w:keepNext w:val="0"/>
              <w:keepLines w:val="0"/>
              <w:pageBreakBefore w:val="0"/>
              <w:widowControl/>
              <w:numPr>
                <w:ilvl w:val="0"/>
                <w:numId w:val="0"/>
              </w:numPr>
              <w:kinsoku/>
              <w:wordWrap/>
              <w:overflowPunct/>
              <w:topLinePunct w:val="0"/>
              <w:autoSpaceDE/>
              <w:autoSpaceDN/>
              <w:bidi w:val="0"/>
              <w:adjustRightInd w:val="0"/>
              <w:snapToGrid w:val="0"/>
              <w:ind w:firstLine="640"/>
              <w:textAlignment w:val="baseline"/>
              <w:rPr>
                <w:rFonts w:hint="eastAsia" w:ascii="Times New Roman" w:hAnsi="Times New Roman" w:eastAsia="宋体" w:cs="Times New Roman"/>
                <w:bCs w:val="0"/>
                <w:snapToGrid/>
                <w:color w:val="auto"/>
                <w:kern w:val="2"/>
                <w:sz w:val="28"/>
                <w:szCs w:val="28"/>
                <w:highlight w:val="none"/>
                <w:lang w:bidi="ar"/>
              </w:rPr>
            </w:pPr>
            <w:r>
              <w:rPr>
                <w:rFonts w:hint="eastAsia" w:eastAsia="CESI黑体-GB2312" w:cs="Times New Roman"/>
                <w:bCs w:val="0"/>
                <w:snapToGrid/>
                <w:color w:val="auto"/>
                <w:kern w:val="2"/>
                <w:sz w:val="28"/>
                <w:szCs w:val="28"/>
                <w:lang w:val="en-US" w:eastAsia="zh-CN" w:bidi="ar"/>
              </w:rPr>
              <w:t>1.</w:t>
            </w:r>
            <w:r>
              <w:rPr>
                <w:rFonts w:hint="eastAsia" w:ascii="Times New Roman" w:hAnsi="Times New Roman" w:eastAsia="CESI黑体-GB2312" w:cs="Times New Roman"/>
                <w:bCs w:val="0"/>
                <w:snapToGrid/>
                <w:color w:val="auto"/>
                <w:kern w:val="2"/>
                <w:sz w:val="28"/>
                <w:szCs w:val="28"/>
                <w:highlight w:val="none"/>
                <w:lang w:val="en-US" w:eastAsia="zh-CN" w:bidi="ar"/>
              </w:rPr>
              <w:t>吴都</w:t>
            </w:r>
            <w:r>
              <w:rPr>
                <w:rFonts w:hint="eastAsia" w:ascii="Times New Roman" w:hAnsi="Times New Roman" w:eastAsia="CESI黑体-GB2312" w:cs="Times New Roman"/>
                <w:bCs w:val="0"/>
                <w:snapToGrid/>
                <w:color w:val="auto"/>
                <w:kern w:val="2"/>
                <w:sz w:val="28"/>
                <w:szCs w:val="28"/>
                <w:highlight w:val="none"/>
                <w:lang w:bidi="ar"/>
              </w:rPr>
              <w:t>500千伏变电站扩建工程：</w:t>
            </w:r>
            <w:r>
              <w:rPr>
                <w:rFonts w:hint="eastAsia" w:ascii="Times New Roman" w:hAnsi="Times New Roman" w:eastAsia="宋体" w:cs="Times New Roman"/>
                <w:bCs w:val="0"/>
                <w:snapToGrid/>
                <w:color w:val="auto"/>
                <w:kern w:val="2"/>
                <w:sz w:val="28"/>
                <w:szCs w:val="28"/>
                <w:highlight w:val="none"/>
                <w:lang w:bidi="ar"/>
              </w:rPr>
              <w:t>扩建变压器1台容量100万千伏安</w:t>
            </w:r>
            <w:r>
              <w:rPr>
                <w:rFonts w:hint="eastAsia" w:ascii="Times New Roman" w:hAnsi="Times New Roman" w:eastAsia="宋体" w:cs="Times New Roman"/>
                <w:bCs w:val="0"/>
                <w:snapToGrid/>
                <w:color w:val="auto"/>
                <w:kern w:val="2"/>
                <w:sz w:val="28"/>
                <w:szCs w:val="28"/>
                <w:highlight w:val="none"/>
                <w:lang w:eastAsia="zh-CN" w:bidi="ar"/>
              </w:rPr>
              <w:t>，</w:t>
            </w:r>
            <w:r>
              <w:rPr>
                <w:rFonts w:hint="eastAsia" w:ascii="Times New Roman" w:hAnsi="Times New Roman" w:eastAsia="宋体" w:cs="Times New Roman"/>
                <w:bCs w:val="0"/>
                <w:snapToGrid/>
                <w:color w:val="auto"/>
                <w:kern w:val="2"/>
                <w:sz w:val="28"/>
                <w:szCs w:val="28"/>
                <w:highlight w:val="none"/>
                <w:lang w:val="en-US" w:eastAsia="zh-CN" w:bidi="ar"/>
              </w:rPr>
              <w:t>新建鄂州电厂四期500千伏上网电力线路</w:t>
            </w:r>
            <w:r>
              <w:rPr>
                <w:rFonts w:hint="eastAsia" w:ascii="Times New Roman" w:hAnsi="Times New Roman" w:eastAsia="宋体" w:cs="Times New Roman"/>
                <w:bCs w:val="0"/>
                <w:snapToGrid/>
                <w:color w:val="auto"/>
                <w:kern w:val="2"/>
                <w:sz w:val="28"/>
                <w:szCs w:val="28"/>
                <w:highlight w:val="none"/>
                <w:lang w:bidi="ar"/>
              </w:rPr>
              <w:t>。</w:t>
            </w:r>
          </w:p>
          <w:p>
            <w:pPr>
              <w:pStyle w:val="22"/>
              <w:keepNext w:val="0"/>
              <w:keepLines w:val="0"/>
              <w:pageBreakBefore w:val="0"/>
              <w:widowControl/>
              <w:numPr>
                <w:ilvl w:val="0"/>
                <w:numId w:val="0"/>
              </w:numPr>
              <w:kinsoku/>
              <w:wordWrap/>
              <w:overflowPunct/>
              <w:topLinePunct w:val="0"/>
              <w:autoSpaceDE/>
              <w:autoSpaceDN/>
              <w:bidi w:val="0"/>
              <w:adjustRightInd w:val="0"/>
              <w:snapToGrid w:val="0"/>
              <w:ind w:firstLine="640"/>
              <w:textAlignment w:val="baseline"/>
              <w:rPr>
                <w:rFonts w:hint="eastAsia" w:ascii="Times New Roman" w:hAnsi="Times New Roman" w:eastAsia="宋体" w:cs="Times New Roman"/>
                <w:bCs w:val="0"/>
                <w:snapToGrid/>
                <w:color w:val="auto"/>
                <w:kern w:val="2"/>
                <w:sz w:val="28"/>
                <w:szCs w:val="28"/>
                <w:highlight w:val="none"/>
                <w:lang w:val="en-US" w:eastAsia="zh-CN" w:bidi="ar"/>
              </w:rPr>
            </w:pPr>
            <w:r>
              <w:rPr>
                <w:rFonts w:hint="eastAsia" w:eastAsia="CESI黑体-GB2312" w:cs="Times New Roman"/>
                <w:bCs w:val="0"/>
                <w:snapToGrid/>
                <w:color w:val="auto"/>
                <w:kern w:val="2"/>
                <w:sz w:val="28"/>
                <w:szCs w:val="28"/>
                <w:lang w:val="en-US" w:eastAsia="zh-CN" w:bidi="ar"/>
              </w:rPr>
              <w:t>2.</w:t>
            </w:r>
            <w:r>
              <w:rPr>
                <w:rFonts w:hint="eastAsia" w:ascii="Times New Roman" w:hAnsi="Times New Roman" w:eastAsia="CESI黑体-GB2312" w:cs="Times New Roman"/>
                <w:bCs w:val="0"/>
                <w:snapToGrid/>
                <w:color w:val="auto"/>
                <w:kern w:val="2"/>
                <w:sz w:val="28"/>
                <w:szCs w:val="28"/>
                <w:highlight w:val="none"/>
                <w:lang w:val="en-US" w:eastAsia="zh-CN" w:bidi="ar"/>
              </w:rPr>
              <w:t>郎家畈220千伏整站改造工程：</w:t>
            </w:r>
            <w:r>
              <w:rPr>
                <w:rFonts w:hint="eastAsia" w:ascii="Times New Roman" w:hAnsi="Times New Roman" w:eastAsia="宋体" w:cs="Times New Roman"/>
                <w:bCs w:val="0"/>
                <w:snapToGrid/>
                <w:color w:val="auto"/>
                <w:kern w:val="2"/>
                <w:sz w:val="28"/>
                <w:szCs w:val="28"/>
                <w:highlight w:val="none"/>
                <w:lang w:val="en-US" w:eastAsia="zh-CN" w:bidi="ar"/>
              </w:rPr>
              <w:t>更换220千伏和110千伏配电装置区域所有电气设备及配套设施，新建线路长度0.4公里</w:t>
            </w:r>
            <w:r>
              <w:rPr>
                <w:rFonts w:hint="eastAsia" w:ascii="Times New Roman" w:hAnsi="Times New Roman" w:eastAsia="宋体" w:cs="Times New Roman"/>
                <w:bCs w:val="0"/>
                <w:snapToGrid/>
                <w:color w:val="auto"/>
                <w:kern w:val="2"/>
                <w:sz w:val="28"/>
                <w:szCs w:val="28"/>
                <w:highlight w:val="none"/>
                <w:lang w:eastAsia="zh-CN" w:bidi="ar"/>
              </w:rPr>
              <w:t>。</w:t>
            </w:r>
          </w:p>
          <w:p>
            <w:pPr>
              <w:pStyle w:val="22"/>
              <w:keepNext w:val="0"/>
              <w:keepLines w:val="0"/>
              <w:pageBreakBefore w:val="0"/>
              <w:widowControl/>
              <w:numPr>
                <w:ilvl w:val="0"/>
                <w:numId w:val="0"/>
              </w:numPr>
              <w:kinsoku/>
              <w:wordWrap/>
              <w:overflowPunct/>
              <w:topLinePunct w:val="0"/>
              <w:autoSpaceDE/>
              <w:autoSpaceDN/>
              <w:bidi w:val="0"/>
              <w:adjustRightInd w:val="0"/>
              <w:snapToGrid w:val="0"/>
              <w:ind w:firstLine="640"/>
              <w:textAlignment w:val="baseline"/>
              <w:rPr>
                <w:rFonts w:hint="eastAsia" w:ascii="Times New Roman" w:hAnsi="Times New Roman" w:eastAsia="宋体" w:cs="Times New Roman"/>
                <w:bCs w:val="0"/>
                <w:snapToGrid/>
                <w:color w:val="auto"/>
                <w:kern w:val="2"/>
                <w:sz w:val="28"/>
                <w:szCs w:val="28"/>
                <w:highlight w:val="none"/>
                <w:lang w:bidi="ar"/>
              </w:rPr>
            </w:pPr>
            <w:r>
              <w:rPr>
                <w:rFonts w:hint="eastAsia" w:eastAsia="CESI黑体-GB2312" w:cs="Times New Roman"/>
                <w:bCs w:val="0"/>
                <w:snapToGrid/>
                <w:color w:val="auto"/>
                <w:kern w:val="2"/>
                <w:sz w:val="28"/>
                <w:szCs w:val="28"/>
                <w:lang w:val="en-US" w:eastAsia="zh-CN" w:bidi="ar"/>
              </w:rPr>
              <w:t>3.</w:t>
            </w:r>
            <w:r>
              <w:rPr>
                <w:rFonts w:hint="eastAsia" w:ascii="Times New Roman" w:hAnsi="Times New Roman" w:eastAsia="CESI黑体-GB2312" w:cs="Times New Roman"/>
                <w:bCs w:val="0"/>
                <w:snapToGrid/>
                <w:color w:val="auto"/>
                <w:kern w:val="2"/>
                <w:sz w:val="28"/>
                <w:szCs w:val="28"/>
                <w:highlight w:val="none"/>
                <w:lang w:val="en-US" w:eastAsia="zh-CN" w:bidi="ar"/>
              </w:rPr>
              <w:t>鸭儿湖</w:t>
            </w:r>
            <w:r>
              <w:rPr>
                <w:rFonts w:hint="eastAsia" w:ascii="Times New Roman" w:hAnsi="Times New Roman" w:eastAsia="CESI黑体-GB2312" w:cs="Times New Roman"/>
                <w:bCs w:val="0"/>
                <w:snapToGrid/>
                <w:color w:val="auto"/>
                <w:kern w:val="2"/>
                <w:sz w:val="28"/>
                <w:szCs w:val="28"/>
                <w:highlight w:val="none"/>
                <w:lang w:bidi="ar"/>
              </w:rPr>
              <w:t>220千伏输变电工程：</w:t>
            </w:r>
            <w:r>
              <w:rPr>
                <w:rFonts w:hint="eastAsia" w:ascii="Times New Roman" w:hAnsi="Times New Roman" w:eastAsia="宋体" w:cs="Times New Roman"/>
                <w:bCs w:val="0"/>
                <w:snapToGrid/>
                <w:color w:val="auto"/>
                <w:kern w:val="2"/>
                <w:sz w:val="28"/>
                <w:szCs w:val="28"/>
                <w:highlight w:val="none"/>
                <w:lang w:bidi="ar"/>
              </w:rPr>
              <w:t>新建变压器2台、容量48万千伏安、新建线路长度8.4公里。</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560" w:firstLineChars="200"/>
              <w:textAlignment w:val="baseline"/>
              <w:rPr>
                <w:rFonts w:hint="eastAsia" w:ascii="Times New Roman" w:hAnsi="Times New Roman" w:eastAsia="宋体" w:cs="Times New Roman"/>
                <w:bCs w:val="0"/>
                <w:snapToGrid/>
                <w:color w:val="auto"/>
                <w:kern w:val="2"/>
                <w:sz w:val="28"/>
                <w:szCs w:val="28"/>
                <w:highlight w:val="none"/>
                <w:lang w:bidi="ar"/>
              </w:rPr>
            </w:pPr>
            <w:r>
              <w:rPr>
                <w:rFonts w:hint="eastAsia" w:eastAsia="CESI黑体-GB2312" w:cs="Times New Roman"/>
                <w:bCs w:val="0"/>
                <w:snapToGrid/>
                <w:color w:val="auto"/>
                <w:kern w:val="2"/>
                <w:sz w:val="28"/>
                <w:szCs w:val="28"/>
                <w:lang w:val="en-US" w:eastAsia="zh-CN" w:bidi="ar"/>
              </w:rPr>
              <w:t>4.</w:t>
            </w:r>
            <w:r>
              <w:rPr>
                <w:rFonts w:hint="eastAsia" w:ascii="Times New Roman" w:hAnsi="Times New Roman" w:eastAsia="CESI黑体-GB2312" w:cs="Times New Roman"/>
                <w:bCs w:val="0"/>
                <w:snapToGrid/>
                <w:color w:val="auto"/>
                <w:kern w:val="2"/>
                <w:sz w:val="28"/>
                <w:szCs w:val="28"/>
                <w:highlight w:val="none"/>
                <w:lang w:val="en-US" w:eastAsia="zh-CN" w:bidi="ar"/>
              </w:rPr>
              <w:t>司徒</w:t>
            </w:r>
            <w:r>
              <w:rPr>
                <w:rFonts w:hint="eastAsia" w:ascii="Times New Roman" w:hAnsi="Times New Roman" w:eastAsia="CESI黑体-GB2312" w:cs="Times New Roman"/>
                <w:bCs w:val="0"/>
                <w:snapToGrid/>
                <w:color w:val="auto"/>
                <w:kern w:val="2"/>
                <w:sz w:val="28"/>
                <w:szCs w:val="28"/>
                <w:highlight w:val="none"/>
                <w:lang w:bidi="ar"/>
              </w:rPr>
              <w:t>220千伏输变电工程：</w:t>
            </w:r>
            <w:r>
              <w:rPr>
                <w:rFonts w:hint="eastAsia" w:ascii="Times New Roman" w:hAnsi="Times New Roman" w:eastAsia="宋体" w:cs="Times New Roman"/>
                <w:bCs w:val="0"/>
                <w:snapToGrid/>
                <w:color w:val="auto"/>
                <w:kern w:val="2"/>
                <w:sz w:val="28"/>
                <w:szCs w:val="28"/>
                <w:highlight w:val="none"/>
                <w:lang w:bidi="ar"/>
              </w:rPr>
              <w:t>新建变压器2台、容量36万千伏安，新建线路</w:t>
            </w:r>
            <w:r>
              <w:rPr>
                <w:rFonts w:hint="eastAsia" w:ascii="Times New Roman" w:hAnsi="Times New Roman" w:eastAsia="宋体" w:cs="Times New Roman"/>
                <w:bCs w:val="0"/>
                <w:snapToGrid/>
                <w:color w:val="auto"/>
                <w:kern w:val="2"/>
                <w:sz w:val="28"/>
                <w:szCs w:val="28"/>
                <w:highlight w:val="none"/>
                <w:lang w:val="en-US" w:eastAsia="zh-CN" w:bidi="ar"/>
              </w:rPr>
              <w:t>35</w:t>
            </w:r>
            <w:r>
              <w:rPr>
                <w:rFonts w:hint="eastAsia" w:ascii="Times New Roman" w:hAnsi="Times New Roman" w:eastAsia="宋体" w:cs="Times New Roman"/>
                <w:bCs w:val="0"/>
                <w:snapToGrid/>
                <w:color w:val="auto"/>
                <w:kern w:val="2"/>
                <w:sz w:val="28"/>
                <w:szCs w:val="28"/>
                <w:highlight w:val="none"/>
                <w:lang w:bidi="ar"/>
              </w:rPr>
              <w:t>公里。</w:t>
            </w:r>
          </w:p>
          <w:p>
            <w:pPr>
              <w:pStyle w:val="22"/>
              <w:keepNext w:val="0"/>
              <w:keepLines w:val="0"/>
              <w:pageBreakBefore w:val="0"/>
              <w:widowControl/>
              <w:numPr>
                <w:ilvl w:val="0"/>
                <w:numId w:val="0"/>
              </w:numPr>
              <w:kinsoku/>
              <w:wordWrap/>
              <w:overflowPunct/>
              <w:topLinePunct w:val="0"/>
              <w:autoSpaceDE/>
              <w:autoSpaceDN/>
              <w:bidi w:val="0"/>
              <w:adjustRightInd w:val="0"/>
              <w:snapToGrid w:val="0"/>
              <w:ind w:firstLine="640"/>
              <w:textAlignment w:val="baseline"/>
              <w:rPr>
                <w:rFonts w:hint="eastAsia" w:ascii="Times New Roman" w:hAnsi="Times New Roman" w:eastAsia="宋体" w:cs="Times New Roman"/>
                <w:bCs w:val="0"/>
                <w:snapToGrid/>
                <w:color w:val="auto"/>
                <w:kern w:val="2"/>
                <w:sz w:val="28"/>
                <w:szCs w:val="28"/>
                <w:highlight w:val="none"/>
                <w:lang w:val="en-US" w:eastAsia="zh-CN" w:bidi="ar"/>
              </w:rPr>
            </w:pPr>
            <w:r>
              <w:rPr>
                <w:rFonts w:hint="eastAsia" w:eastAsia="CESI黑体-GB2312" w:cs="Times New Roman"/>
                <w:bCs w:val="0"/>
                <w:snapToGrid/>
                <w:color w:val="auto"/>
                <w:kern w:val="2"/>
                <w:sz w:val="28"/>
                <w:szCs w:val="28"/>
                <w:lang w:val="en-US" w:eastAsia="zh-CN" w:bidi="ar"/>
              </w:rPr>
              <w:t>5.</w:t>
            </w:r>
            <w:r>
              <w:rPr>
                <w:rFonts w:hint="eastAsia" w:ascii="Times New Roman" w:hAnsi="Times New Roman" w:eastAsia="CESI黑体-GB2312" w:cs="Times New Roman"/>
                <w:bCs w:val="0"/>
                <w:snapToGrid/>
                <w:color w:val="auto"/>
                <w:kern w:val="2"/>
                <w:sz w:val="28"/>
                <w:szCs w:val="28"/>
                <w:highlight w:val="none"/>
                <w:lang w:val="en-US" w:eastAsia="zh-CN" w:bidi="ar"/>
              </w:rPr>
              <w:t>梁子湖</w:t>
            </w:r>
            <w:r>
              <w:rPr>
                <w:rFonts w:hint="eastAsia" w:ascii="Times New Roman" w:hAnsi="Times New Roman" w:eastAsia="CESI黑体-GB2312" w:cs="Times New Roman"/>
                <w:bCs w:val="0"/>
                <w:snapToGrid/>
                <w:color w:val="auto"/>
                <w:kern w:val="2"/>
                <w:sz w:val="28"/>
                <w:szCs w:val="28"/>
                <w:highlight w:val="none"/>
                <w:lang w:bidi="ar"/>
              </w:rPr>
              <w:t>220千伏输变电工程：</w:t>
            </w:r>
            <w:r>
              <w:rPr>
                <w:rFonts w:hint="eastAsia" w:ascii="Times New Roman" w:hAnsi="Times New Roman" w:eastAsia="宋体" w:cs="Times New Roman"/>
                <w:bCs w:val="0"/>
                <w:snapToGrid/>
                <w:color w:val="auto"/>
                <w:kern w:val="2"/>
                <w:sz w:val="28"/>
                <w:szCs w:val="28"/>
                <w:highlight w:val="none"/>
                <w:lang w:bidi="ar"/>
              </w:rPr>
              <w:t>新建变压器2台、容量36万千伏安</w:t>
            </w:r>
            <w:r>
              <w:rPr>
                <w:rFonts w:hint="eastAsia" w:ascii="Times New Roman" w:hAnsi="Times New Roman" w:eastAsia="宋体" w:cs="Times New Roman"/>
                <w:bCs w:val="0"/>
                <w:snapToGrid/>
                <w:color w:val="auto"/>
                <w:kern w:val="2"/>
                <w:sz w:val="28"/>
                <w:szCs w:val="28"/>
                <w:highlight w:val="none"/>
                <w:lang w:eastAsia="zh-CN" w:bidi="ar"/>
              </w:rPr>
              <w:t>。</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firstLine="560" w:firstLineChars="200"/>
              <w:textAlignment w:val="baseline"/>
              <w:rPr>
                <w:rFonts w:hint="default" w:ascii="Times New Roman Regular" w:hAnsi="Times New Roman Regular" w:cs="Times New Roman Regular"/>
                <w:color w:val="auto"/>
                <w:highlight w:val="none"/>
              </w:rPr>
            </w:pPr>
            <w:r>
              <w:rPr>
                <w:rFonts w:hint="eastAsia" w:eastAsia="CESI黑体-GB2312" w:cs="Times New Roman"/>
                <w:bCs w:val="0"/>
                <w:snapToGrid/>
                <w:color w:val="auto"/>
                <w:kern w:val="2"/>
                <w:sz w:val="28"/>
                <w:szCs w:val="28"/>
                <w:lang w:val="en-US" w:eastAsia="zh-CN" w:bidi="ar"/>
              </w:rPr>
              <w:t>6.</w:t>
            </w:r>
            <w:r>
              <w:rPr>
                <w:rFonts w:hint="eastAsia" w:ascii="Times New Roman" w:hAnsi="Times New Roman" w:eastAsia="CESI黑体-GB2312" w:cs="Times New Roman"/>
                <w:bCs w:val="0"/>
                <w:snapToGrid/>
                <w:color w:val="auto"/>
                <w:kern w:val="2"/>
                <w:sz w:val="28"/>
                <w:szCs w:val="28"/>
                <w:highlight w:val="none"/>
                <w:lang w:val="en-US" w:eastAsia="zh-CN" w:bidi="ar"/>
              </w:rPr>
              <w:t>葛店</w:t>
            </w:r>
            <w:r>
              <w:rPr>
                <w:rFonts w:hint="eastAsia" w:ascii="Times New Roman" w:hAnsi="Times New Roman" w:eastAsia="CESI黑体-GB2312" w:cs="Times New Roman"/>
                <w:bCs w:val="0"/>
                <w:snapToGrid/>
                <w:color w:val="auto"/>
                <w:kern w:val="2"/>
                <w:sz w:val="28"/>
                <w:szCs w:val="28"/>
                <w:highlight w:val="none"/>
                <w:lang w:bidi="ar"/>
              </w:rPr>
              <w:t>220千伏输变电工程：</w:t>
            </w:r>
            <w:r>
              <w:rPr>
                <w:rFonts w:hint="eastAsia" w:ascii="Times New Roman" w:hAnsi="Times New Roman" w:eastAsia="宋体" w:cs="Times New Roman"/>
                <w:bCs w:val="0"/>
                <w:snapToGrid/>
                <w:color w:val="auto"/>
                <w:kern w:val="2"/>
                <w:sz w:val="28"/>
                <w:szCs w:val="28"/>
                <w:highlight w:val="none"/>
                <w:lang w:bidi="ar"/>
              </w:rPr>
              <w:t>新建变压器2台、容量36万千伏安，新建线路</w:t>
            </w:r>
            <w:r>
              <w:rPr>
                <w:rFonts w:hint="eastAsia" w:ascii="Times New Roman" w:hAnsi="Times New Roman" w:eastAsia="宋体" w:cs="Times New Roman"/>
                <w:bCs w:val="0"/>
                <w:snapToGrid/>
                <w:color w:val="auto"/>
                <w:kern w:val="2"/>
                <w:sz w:val="28"/>
                <w:szCs w:val="28"/>
                <w:highlight w:val="none"/>
                <w:lang w:val="en-US" w:eastAsia="zh-CN" w:bidi="ar"/>
              </w:rPr>
              <w:t>6</w:t>
            </w:r>
            <w:r>
              <w:rPr>
                <w:rFonts w:hint="eastAsia" w:ascii="Times New Roman" w:hAnsi="Times New Roman" w:eastAsia="宋体" w:cs="Times New Roman"/>
                <w:bCs w:val="0"/>
                <w:snapToGrid/>
                <w:color w:val="auto"/>
                <w:kern w:val="2"/>
                <w:sz w:val="28"/>
                <w:szCs w:val="28"/>
                <w:highlight w:val="none"/>
                <w:lang w:bidi="ar"/>
              </w:rPr>
              <w:t>公里。</w:t>
            </w:r>
          </w:p>
        </w:tc>
      </w:tr>
    </w:tbl>
    <w:p>
      <w:pPr>
        <w:pStyle w:val="22"/>
        <w:numPr>
          <w:ilvl w:val="0"/>
          <w:numId w:val="5"/>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93" w:name="_Toc23037"/>
      <w:bookmarkStart w:id="94" w:name="_Toc10492"/>
      <w:bookmarkStart w:id="95" w:name="_Toc13219"/>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提升系统调节能力</w:t>
      </w:r>
      <w:bookmarkEnd w:id="93"/>
      <w:bookmarkEnd w:id="94"/>
      <w:bookmarkEnd w:id="95"/>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大力支持新型储能建设。</w:t>
      </w:r>
      <w:r>
        <w:rPr>
          <w:rFonts w:hint="eastAsia" w:ascii="Times New Roman Regular" w:hAnsi="Times New Roman Regular" w:cs="Times New Roman Regular"/>
          <w:color w:val="auto"/>
          <w:szCs w:val="32"/>
          <w:highlight w:val="none"/>
          <w:lang w:val="en-US" w:eastAsia="zh-CN"/>
        </w:rPr>
        <w:t>推进电源侧储能配置，研究鄂州电厂煤电机组与</w:t>
      </w:r>
      <w:bookmarkStart w:id="96" w:name="OLE_LINK10"/>
      <w:r>
        <w:rPr>
          <w:rFonts w:hint="eastAsia" w:ascii="Times New Roman Regular" w:hAnsi="Times New Roman Regular" w:cs="Times New Roman Regular"/>
          <w:color w:val="auto"/>
          <w:szCs w:val="32"/>
          <w:highlight w:val="none"/>
          <w:lang w:val="en-US" w:eastAsia="zh-CN"/>
        </w:rPr>
        <w:t>电化学储能、飞轮储能、熔盐储能等新型储能</w:t>
      </w:r>
      <w:bookmarkEnd w:id="96"/>
      <w:r>
        <w:rPr>
          <w:rFonts w:hint="eastAsia" w:ascii="Times New Roman Regular" w:hAnsi="Times New Roman Regular" w:cs="Times New Roman Regular"/>
          <w:color w:val="auto"/>
          <w:szCs w:val="32"/>
          <w:highlight w:val="none"/>
          <w:lang w:val="en-US" w:eastAsia="zh-CN"/>
        </w:rPr>
        <w:t>项目联合运行，增加快速调峰、调频等灵活调节能力。支持新能源电站自用储能，优化电源运行方式，平抑场站出力波动、减少场站弃光。优化电网侧储能布局，支持建设全钒液流、重力等长时独立储能，更好发挥对电网的稳定支撑作用，结合鄂州及周边区域资源条件，探索布局压缩空气储能等长时储能技术试点。鼓励用户侧储能建设，拓展新型储能在智能微网、虚拟电厂等领域应用，提升电力安全保障水平和系统综合效率。</w:t>
      </w:r>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深入挖掘可调节资源。</w:t>
      </w:r>
      <w:r>
        <w:rPr>
          <w:rFonts w:hint="eastAsia" w:ascii="Times New Roman Regular" w:hAnsi="Times New Roman Regular" w:cs="Times New Roman Regular"/>
          <w:color w:val="auto"/>
          <w:szCs w:val="32"/>
          <w:highlight w:val="none"/>
          <w:lang w:val="en-US" w:eastAsia="zh-CN"/>
        </w:rPr>
        <w:t>推进聚合分布式能源（光伏）、储能、灵活性负荷（空调负荷、充换电设施），开展虚拟电厂建设工作，逐步推动全市党政机关、事业单位、商业综合体、医院等公共建筑的空调、照明可调节负荷，以及分布式光伏、充换电设施、用户侧储能、数据中心、5G基站等资源全量接入虚拟电厂，全面推进需求侧资源常态化参与电力系统调峰。加强电动汽车与电网能量互动，开展车联网、车网互动（V2G）、光储充换一体站等试点示范。推进电力负荷管理系统建设，打造具备可观、可测、可调、可控能力的需求响应平台参与电网调度运行。</w:t>
      </w:r>
    </w:p>
    <w:p>
      <w:pPr>
        <w:pStyle w:val="22"/>
        <w:numPr>
          <w:ilvl w:val="0"/>
          <w:numId w:val="2"/>
        </w:numPr>
        <w:autoSpaceDE/>
        <w:autoSpaceDN/>
        <w:spacing w:line="560" w:lineRule="exact"/>
        <w:ind w:firstLine="640" w:firstLineChars="200"/>
        <w:outlineLvl w:val="0"/>
        <w:rPr>
          <w:rFonts w:hint="eastAsia" w:ascii="黑体" w:hAnsi="黑体" w:eastAsia="黑体" w:cs="黑体"/>
          <w:i w:val="0"/>
          <w:iCs w:val="0"/>
          <w:caps w:val="0"/>
          <w:color w:val="auto"/>
          <w:spacing w:val="0"/>
          <w:sz w:val="32"/>
          <w:szCs w:val="23"/>
          <w:highlight w:val="none"/>
          <w:shd w:val="clear" w:fill="FFFFFF"/>
          <w:lang w:val="en-US" w:eastAsia="zh-CN"/>
        </w:rPr>
      </w:pPr>
      <w:bookmarkStart w:id="97" w:name="_Toc4892"/>
      <w:r>
        <w:rPr>
          <w:rFonts w:hint="eastAsia" w:ascii="黑体" w:hAnsi="黑体" w:eastAsia="黑体" w:cs="黑体"/>
          <w:i w:val="0"/>
          <w:iCs w:val="0"/>
          <w:caps w:val="0"/>
          <w:color w:val="auto"/>
          <w:spacing w:val="0"/>
          <w:sz w:val="32"/>
          <w:szCs w:val="23"/>
          <w:highlight w:val="none"/>
          <w:shd w:val="clear" w:fill="FFFFFF"/>
          <w:lang w:val="en-US" w:eastAsia="zh-CN"/>
        </w:rPr>
        <w:t>夯实化石能源兜底保障，守牢能源安全底线</w:t>
      </w:r>
      <w:bookmarkEnd w:id="97"/>
    </w:p>
    <w:p>
      <w:pPr>
        <w:pStyle w:val="22"/>
        <w:numPr>
          <w:ilvl w:val="0"/>
          <w:numId w:val="6"/>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98" w:name="_Toc9628"/>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夯实煤电煤炭保供基础</w:t>
      </w:r>
      <w:bookmarkEnd w:id="98"/>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rPr>
      </w:pPr>
      <w:r>
        <w:rPr>
          <w:rFonts w:hint="eastAsia" w:ascii="Times New Roman Regular" w:hAnsi="Times New Roman Regular" w:cs="Times New Roman Regular"/>
          <w:b/>
          <w:bCs w:val="0"/>
          <w:color w:val="auto"/>
          <w:highlight w:val="none"/>
          <w:lang w:val="en-US" w:eastAsia="zh-CN"/>
        </w:rPr>
        <w:t>有序</w:t>
      </w:r>
      <w:r>
        <w:rPr>
          <w:rFonts w:hint="default" w:ascii="Times New Roman Regular" w:hAnsi="Times New Roman Regular" w:cs="Times New Roman Regular"/>
          <w:b/>
          <w:bCs w:val="0"/>
          <w:color w:val="auto"/>
          <w:highlight w:val="none"/>
          <w:lang w:val="en-US" w:eastAsia="zh-CN"/>
        </w:rPr>
        <w:t>建设支撑性煤电项目</w:t>
      </w:r>
      <w:r>
        <w:rPr>
          <w:rFonts w:hint="eastAsia" w:ascii="Times New Roman Regular" w:hAnsi="Times New Roman Regular" w:cs="Times New Roman Regular"/>
          <w:b/>
          <w:bCs/>
          <w:color w:val="auto"/>
          <w:highlight w:val="none"/>
          <w:lang w:val="en-US" w:eastAsia="zh-CN"/>
        </w:rPr>
        <w:t>。</w:t>
      </w:r>
      <w:r>
        <w:rPr>
          <w:rFonts w:hint="default" w:ascii="Times New Roman Regular" w:hAnsi="Times New Roman Regular" w:cs="Times New Roman Regular"/>
          <w:color w:val="auto"/>
          <w:highlight w:val="none"/>
        </w:rPr>
        <w:t>充分发挥煤电保供</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压舱石</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lang w:val="en-US" w:eastAsia="zh-CN"/>
        </w:rPr>
        <w:t>稳定器</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rPr>
        <w:t>作</w:t>
      </w:r>
      <w:r>
        <w:rPr>
          <w:rFonts w:hint="default" w:ascii="Times New Roman Regular" w:hAnsi="Times New Roman Regular" w:cs="Times New Roman Regular"/>
          <w:color w:val="auto"/>
          <w:highlight w:val="none"/>
          <w:lang w:val="en-US" w:eastAsia="zh-CN"/>
        </w:rPr>
        <w:t>用，统筹考虑全市经济社会发展带来的用电需求增长，做</w:t>
      </w:r>
      <w:r>
        <w:rPr>
          <w:rFonts w:hint="default" w:ascii="Times New Roman Regular" w:hAnsi="Times New Roman Regular" w:cs="Times New Roman Regular"/>
          <w:color w:val="auto"/>
          <w:highlight w:val="none"/>
        </w:rPr>
        <w:t>好煤电项目储备和前期工作</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lang w:val="en-US" w:eastAsia="zh-CN"/>
        </w:rPr>
        <w:t>落实保障武汉都市圈电力供应的总体要求，</w:t>
      </w:r>
      <w:r>
        <w:rPr>
          <w:rFonts w:hint="default" w:ascii="Times New Roman Regular" w:hAnsi="Times New Roman Regular" w:cs="Times New Roman Regular"/>
          <w:color w:val="auto"/>
          <w:highlight w:val="none"/>
        </w:rPr>
        <w:t>加快推进已纳入国家规划的</w:t>
      </w:r>
      <w:r>
        <w:rPr>
          <w:rFonts w:hint="default" w:ascii="Times New Roman Regular" w:hAnsi="Times New Roman Regular" w:cs="Times New Roman Regular"/>
          <w:color w:val="auto"/>
          <w:highlight w:val="none"/>
          <w:lang w:val="en-US" w:eastAsia="zh-CN"/>
        </w:rPr>
        <w:t>鄂州电厂四期扩建项目</w:t>
      </w:r>
      <w:r>
        <w:rPr>
          <w:rFonts w:hint="default" w:ascii="Times New Roman Regular" w:hAnsi="Times New Roman Regular" w:cs="Times New Roman Regular"/>
          <w:color w:val="auto"/>
          <w:highlight w:val="none"/>
        </w:rPr>
        <w:t>（2×100万千瓦）</w:t>
      </w:r>
      <w:r>
        <w:rPr>
          <w:rFonts w:hint="default" w:ascii="Times New Roman Regular" w:hAnsi="Times New Roman Regular" w:cs="Times New Roman Regular"/>
          <w:color w:val="auto"/>
          <w:highlight w:val="none"/>
          <w:lang w:eastAsia="zh-CN"/>
        </w:rPr>
        <w:t>，</w:t>
      </w:r>
      <w:r>
        <w:rPr>
          <w:rFonts w:hint="eastAsia" w:ascii="Times New Roman Regular" w:hAnsi="Times New Roman Regular" w:cs="Times New Roman Regular"/>
          <w:color w:val="auto"/>
          <w:highlight w:val="none"/>
          <w:lang w:val="en-US" w:eastAsia="zh-CN"/>
        </w:rPr>
        <w:t>加快推进鄂州电厂“以大代小”1×66万千瓦新一代煤电项目</w:t>
      </w:r>
      <w:r>
        <w:rPr>
          <w:rFonts w:hint="default" w:ascii="Times New Roman Regular" w:hAnsi="Times New Roman Regular" w:cs="Times New Roman Regular"/>
          <w:color w:val="auto"/>
          <w:highlight w:val="none"/>
        </w:rPr>
        <w:t>。到2030年</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煤电</w:t>
      </w:r>
      <w:r>
        <w:rPr>
          <w:rFonts w:hint="default" w:ascii="Times New Roman Regular" w:hAnsi="Times New Roman Regular" w:cs="Times New Roman Regular"/>
          <w:color w:val="auto"/>
          <w:highlight w:val="none"/>
          <w:lang w:val="en-US" w:eastAsia="zh-CN"/>
        </w:rPr>
        <w:t>总</w:t>
      </w:r>
      <w:r>
        <w:rPr>
          <w:rFonts w:hint="default" w:ascii="Times New Roman Regular" w:hAnsi="Times New Roman Regular" w:cs="Times New Roman Regular"/>
          <w:color w:val="auto"/>
          <w:highlight w:val="none"/>
        </w:rPr>
        <w:t>装机</w:t>
      </w:r>
      <w:r>
        <w:rPr>
          <w:rFonts w:hint="eastAsia" w:ascii="Times New Roman Regular" w:hAnsi="Times New Roman Regular" w:cs="Times New Roman Regular"/>
          <w:color w:val="auto"/>
          <w:highlight w:val="none"/>
          <w:lang w:val="en-US" w:eastAsia="zh-CN"/>
        </w:rPr>
        <w:t>596</w:t>
      </w:r>
      <w:r>
        <w:rPr>
          <w:rFonts w:hint="default" w:ascii="Times New Roman Regular" w:hAnsi="Times New Roman Regular" w:cs="Times New Roman Regular"/>
          <w:color w:val="auto"/>
          <w:highlight w:val="none"/>
        </w:rPr>
        <w:t>万千瓦。</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jc w:val="left"/>
        <w:textAlignment w:val="baseline"/>
        <w:rPr>
          <w:rFonts w:hint="default" w:ascii="Times New Roman Regular" w:hAnsi="Times New Roman Regular" w:cs="Times New Roman Regular"/>
          <w:b w:val="0"/>
          <w:bCs w:val="0"/>
          <w:color w:val="auto"/>
          <w:highlight w:val="none"/>
          <w:lang w:val="en-US" w:eastAsia="zh-CN"/>
        </w:rPr>
      </w:pPr>
      <w:r>
        <w:rPr>
          <w:rFonts w:hint="eastAsia" w:ascii="Times New Roman Regular" w:hAnsi="Times New Roman Regular" w:cs="Times New Roman Regular"/>
          <w:b/>
          <w:bCs/>
          <w:color w:val="auto"/>
          <w:highlight w:val="none"/>
          <w:lang w:val="en-US" w:eastAsia="zh-CN"/>
        </w:rPr>
        <w:t>完善</w:t>
      </w:r>
      <w:r>
        <w:rPr>
          <w:rFonts w:hint="default" w:ascii="Times New Roman Regular" w:hAnsi="Times New Roman Regular" w:cs="Times New Roman Regular"/>
          <w:b/>
          <w:bCs/>
          <w:color w:val="auto"/>
          <w:highlight w:val="none"/>
          <w:lang w:val="en-US" w:eastAsia="zh-CN"/>
        </w:rPr>
        <w:t>煤炭供应保障体系</w:t>
      </w:r>
      <w:r>
        <w:rPr>
          <w:rFonts w:hint="eastAsia" w:ascii="Times New Roman Regular" w:hAnsi="Times New Roman Regular" w:cs="Times New Roman Regular"/>
          <w:b/>
          <w:bCs/>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加强煤炭供应能力，提升区域能源安全保障水平，充分发挥三江港交通区位优势，拓展三江港煤炭发展空间，支持三江港打造北煤南运多式联运中心。依托鄂东煤产品交易中心，鄂州花湖机场等现有平台、物流优势，打通</w:t>
      </w:r>
      <w:r>
        <w:rPr>
          <w:rFonts w:hint="eastAsia"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蒙煤进江</w:t>
      </w:r>
      <w:r>
        <w:rPr>
          <w:rFonts w:hint="eastAsia"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通道。拓宽鄂州电厂，鄂钢等用煤企业煤炭获取渠道，引进</w:t>
      </w:r>
      <w:r>
        <w:rPr>
          <w:rFonts w:hint="eastAsia"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铁路煤</w:t>
      </w:r>
      <w:r>
        <w:rPr>
          <w:rFonts w:hint="eastAsia"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海进江煤</w:t>
      </w:r>
      <w:r>
        <w:rPr>
          <w:rFonts w:hint="eastAsia"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等多种煤源，确保鄂州电厂存煤可用天数大于20天。加强与煤电企业签订电煤中长期合同，完善</w:t>
      </w:r>
      <w:r>
        <w:rPr>
          <w:rFonts w:hint="eastAsia"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平急转换</w:t>
      </w:r>
      <w:r>
        <w:rPr>
          <w:rFonts w:hint="eastAsia"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b w:val="0"/>
          <w:bCs w:val="0"/>
          <w:color w:val="auto"/>
          <w:highlight w:val="none"/>
          <w:lang w:val="en-US" w:eastAsia="zh-CN"/>
        </w:rPr>
        <w:t>机制，加大安全生产投入，强化隐患排查治理，全力保障煤炭供应。</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rPr>
      </w:pPr>
      <w:r>
        <w:rPr>
          <w:rFonts w:hint="default" w:ascii="Times New Roman Regular" w:hAnsi="Times New Roman Regular" w:cs="Times New Roman Regular"/>
          <w:b/>
          <w:bCs w:val="0"/>
          <w:color w:val="auto"/>
          <w:highlight w:val="none"/>
          <w:lang w:val="en-US" w:eastAsia="zh-CN"/>
        </w:rPr>
        <w:t>加强煤炭运输通道建设</w:t>
      </w:r>
      <w:r>
        <w:rPr>
          <w:rFonts w:hint="eastAsia" w:ascii="Times New Roman Regular" w:hAnsi="Times New Roman Regular" w:cs="Times New Roman Regular"/>
          <w:b/>
          <w:bCs w:val="0"/>
          <w:color w:val="auto"/>
          <w:highlight w:val="none"/>
          <w:lang w:val="en-US" w:eastAsia="zh-CN"/>
        </w:rPr>
        <w:t>。</w:t>
      </w:r>
      <w:r>
        <w:rPr>
          <w:rFonts w:hint="default" w:ascii="Times New Roman Regular" w:hAnsi="Times New Roman Regular" w:cs="Times New Roman Regular"/>
          <w:color w:val="auto"/>
          <w:highlight w:val="none"/>
          <w:lang w:val="en-US" w:eastAsia="zh-CN"/>
        </w:rPr>
        <w:t>优化港区布局，在现有葛店、三江、城区、五丈和杨叶五个港区基础上，将原燕矶作业区调整为燕矶港区。强化三江港区核心港区功能，拓展核心港区煤炭枢纽港发展空间，打造多式联运示范港区。加快建设三江港铁路专用线，完善铁路物流基础设施建设，实现铁路货运延伸到主要煤炭码头，打通铁路进港</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最后一公里</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加强港口能力建设，提升物流效率，打造智慧港口、码头，实现煤炭在港口高效装卸、转运作业。积极对接武汉长江中游航运中心建设，合理利用岸线资源，提升航道通航能力，大力发展江海直达和江海联运，着力打造绿色低碳的高等级内河航道网，保障煤炭运输通畅。</w:t>
      </w:r>
    </w:p>
    <w:p>
      <w:pPr>
        <w:pStyle w:val="22"/>
        <w:numPr>
          <w:ilvl w:val="0"/>
          <w:numId w:val="6"/>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99" w:name="_Toc4665"/>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完善天然气基础设施建设</w:t>
      </w:r>
      <w:bookmarkEnd w:id="99"/>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lang w:val="en-US" w:eastAsia="zh-CN"/>
        </w:rPr>
        <w:t>建立安全可靠的供气系统。</w:t>
      </w:r>
      <w:r>
        <w:rPr>
          <w:rFonts w:hint="default" w:ascii="Times New Roman Regular" w:hAnsi="Times New Roman Regular" w:cs="Times New Roman Regular"/>
          <w:color w:val="auto"/>
          <w:highlight w:val="none"/>
          <w:lang w:val="en-US" w:eastAsia="zh-CN"/>
        </w:rPr>
        <w:t>构建以管道天然气为主要气源、LNG（液化天然气）为调峰应急、液化石油气为辅的气源保障体系。在现有34处燃气储备站基础上，规划新增红莲湖、燕矶等24处加气站或储配站，确保安全稳定供气。</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rPr>
        <w:t>完善天然气输配设施建设。</w:t>
      </w:r>
      <w:r>
        <w:rPr>
          <w:rFonts w:hint="default" w:ascii="Times New Roman Regular" w:hAnsi="Times New Roman Regular" w:cs="Times New Roman Regular"/>
          <w:color w:val="auto"/>
          <w:highlight w:val="none"/>
        </w:rPr>
        <w:t>积极争取上游资源供应量，充分利用</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西二线</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川气东送线</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黄冈～大冶天然气输气管道</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等管网过境</w:t>
      </w:r>
      <w:r>
        <w:rPr>
          <w:rFonts w:hint="default" w:ascii="Times New Roman Regular" w:hAnsi="Times New Roman Regular" w:cs="Times New Roman Regular"/>
          <w:color w:val="auto"/>
          <w:highlight w:val="none"/>
          <w:lang w:val="en-US" w:eastAsia="zh-CN"/>
        </w:rPr>
        <w:t>鄂州</w:t>
      </w:r>
      <w:r>
        <w:rPr>
          <w:rFonts w:hint="default" w:ascii="Times New Roman Regular" w:hAnsi="Times New Roman Regular" w:cs="Times New Roman Regular"/>
          <w:color w:val="auto"/>
          <w:highlight w:val="none"/>
        </w:rPr>
        <w:t>的优势，争取多气源接入，</w:t>
      </w:r>
      <w:r>
        <w:rPr>
          <w:rFonts w:hint="eastAsia" w:ascii="Times New Roman Regular" w:hAnsi="Times New Roman Regular" w:cs="Times New Roman Regular"/>
          <w:color w:val="auto"/>
          <w:highlight w:val="none"/>
          <w:lang w:val="en-US" w:eastAsia="zh-CN"/>
        </w:rPr>
        <w:t>提高工期裕度</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加快推进</w:t>
      </w:r>
      <w:r>
        <w:rPr>
          <w:rFonts w:hint="default" w:ascii="Times New Roman Regular" w:hAnsi="Times New Roman Regular" w:cs="Times New Roman Regular"/>
          <w:color w:val="auto"/>
          <w:highlight w:val="none"/>
          <w:lang w:val="en-US" w:eastAsia="zh-CN"/>
        </w:rPr>
        <w:t>燃气管道</w:t>
      </w:r>
      <w:r>
        <w:rPr>
          <w:rFonts w:hint="default" w:ascii="Times New Roman Regular" w:hAnsi="Times New Roman Regular" w:cs="Times New Roman Regular"/>
          <w:color w:val="auto"/>
          <w:highlight w:val="none"/>
        </w:rPr>
        <w:t>升级改造建设，提升长输管道安全、稳定供气能力</w:t>
      </w:r>
      <w:r>
        <w:rPr>
          <w:rFonts w:hint="default" w:ascii="Times New Roman Regular" w:hAnsi="Times New Roman Regular" w:cs="Times New Roman Regular"/>
          <w:color w:val="auto"/>
          <w:kern w:val="0"/>
          <w:highlight w:val="none"/>
          <w:lang w:val="zh-CN" w:bidi="zh-CN"/>
        </w:rPr>
        <w:t>。</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lang w:val="en-US" w:eastAsia="zh-CN"/>
        </w:rPr>
        <w:t>完善燃气应急调峰系统。</w:t>
      </w:r>
      <w:r>
        <w:rPr>
          <w:rFonts w:hint="default" w:ascii="Times New Roman Regular" w:hAnsi="Times New Roman Regular" w:cs="Times New Roman Regular"/>
          <w:color w:val="auto"/>
          <w:highlight w:val="none"/>
          <w:lang w:val="en-US" w:eastAsia="zh-CN"/>
        </w:rPr>
        <w:t>建设LNG应急调峰系统，完成三江港燃气储配站扩建工程，在三江港LNG南侧，扩建2#LNG储配站规划建设储存规模为1000m</w:t>
      </w:r>
      <w:r>
        <w:rPr>
          <w:rFonts w:hint="default" w:ascii="Times New Roman Regular" w:hAnsi="Times New Roman Regular" w:cs="Times New Roman Regular"/>
          <w:color w:val="auto"/>
          <w:highlight w:val="none"/>
          <w:vertAlign w:val="superscript"/>
          <w:lang w:val="en-US" w:eastAsia="zh-CN"/>
        </w:rPr>
        <w:t>3</w:t>
      </w:r>
      <w:r>
        <w:rPr>
          <w:rFonts w:hint="default" w:ascii="Times New Roman Regular" w:hAnsi="Times New Roman Regular" w:cs="Times New Roman Regular"/>
          <w:color w:val="auto"/>
          <w:highlight w:val="none"/>
          <w:lang w:val="en-US" w:eastAsia="zh-CN"/>
        </w:rPr>
        <w:t>，建成后与现状三江港LNG应急储备站的总储罐水容积为2500m</w:t>
      </w:r>
      <w:r>
        <w:rPr>
          <w:rFonts w:hint="default" w:ascii="Times New Roman Regular" w:hAnsi="Times New Roman Regular" w:cs="Times New Roman Regular"/>
          <w:color w:val="auto"/>
          <w:highlight w:val="none"/>
          <w:vertAlign w:val="superscript"/>
          <w:lang w:val="en-US" w:eastAsia="zh-CN"/>
        </w:rPr>
        <w:t>3</w:t>
      </w:r>
      <w:r>
        <w:rPr>
          <w:rFonts w:hint="default" w:ascii="Times New Roman Regular" w:hAnsi="Times New Roman Regular" w:cs="Times New Roman Regular"/>
          <w:color w:val="auto"/>
          <w:highlight w:val="none"/>
          <w:lang w:val="en-US" w:eastAsia="zh-CN"/>
        </w:rPr>
        <w: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22" w:type="dxa"/>
            <w:vAlign w:val="top"/>
          </w:tcPr>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560" w:lineRule="exact"/>
              <w:ind w:left="0" w:leftChars="0" w:right="0" w:rightChars="0" w:firstLine="0" w:firstLineChars="0"/>
              <w:jc w:val="center"/>
              <w:textAlignment w:val="center"/>
              <w:rPr>
                <w:rFonts w:hint="default" w:ascii="Times New Roman Regular" w:hAnsi="Times New Roman Regular" w:cs="Times New Roman Regular"/>
                <w:color w:val="auto"/>
                <w:highlight w:val="none"/>
                <w:vertAlign w:val="baseline"/>
                <w:lang w:val="en-US" w:eastAsia="zh-CN"/>
              </w:rPr>
            </w:pPr>
            <w:r>
              <w:rPr>
                <w:rFonts w:hint="default" w:ascii="Times New Roman" w:hAnsi="Times New Roman" w:eastAsia="黑体" w:cs="Times New Roman"/>
                <w:color w:val="auto"/>
                <w:sz w:val="32"/>
                <w:szCs w:val="32"/>
                <w:lang w:val="en-US" w:eastAsia="zh-CN"/>
              </w:rPr>
              <w:t>专栏</w:t>
            </w:r>
            <w:r>
              <w:rPr>
                <w:rFonts w:hint="eastAsia" w:ascii="Times New Roman" w:hAnsi="Times New Roman" w:eastAsia="黑体" w:cs="Times New Roman"/>
                <w:color w:val="auto"/>
                <w:sz w:val="32"/>
                <w:szCs w:val="32"/>
                <w:lang w:val="en-US" w:eastAsia="zh-CN"/>
              </w:rPr>
              <w:t>5</w:t>
            </w:r>
            <w:r>
              <w:rPr>
                <w:rFonts w:hint="default" w:ascii="Times New Roman" w:hAnsi="Times New Roman" w:eastAsia="黑体" w:cs="Times New Roman"/>
                <w:color w:val="auto"/>
                <w:sz w:val="32"/>
                <w:szCs w:val="32"/>
                <w:lang w:val="en-US" w:eastAsia="zh-CN"/>
              </w:rPr>
              <w:t xml:space="preserve">  燃气重点工程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Times New Roman" w:hAnsi="Times New Roman" w:eastAsia="CESI黑体-GB2312" w:cs="Times New Roman"/>
                <w:b w:val="0"/>
                <w:bCs w:val="0"/>
                <w:color w:val="auto"/>
                <w:sz w:val="28"/>
                <w:szCs w:val="28"/>
                <w:highlight w:val="none"/>
                <w:shd w:val="clear" w:color="auto" w:fill="FFFFFF"/>
                <w:lang w:val="en-US" w:eastAsia="zh-CN" w:bidi="ar"/>
              </w:rPr>
              <w:t>1.</w:t>
            </w:r>
            <w:r>
              <w:rPr>
                <w:rFonts w:hint="eastAsia" w:ascii="Times New Roman" w:hAnsi="Times New Roman" w:eastAsia="CESI黑体-GB2312" w:cs="Times New Roman"/>
                <w:bCs w:val="0"/>
                <w:color w:val="auto"/>
                <w:sz w:val="28"/>
                <w:szCs w:val="28"/>
                <w:highlight w:val="none"/>
                <w:shd w:val="clear" w:color="auto" w:fill="FFFFFF"/>
                <w:lang w:val="en-US" w:eastAsia="zh-CN" w:bidi="ar"/>
              </w:rPr>
              <w:t>调压站建设工程：</w:t>
            </w:r>
            <w:r>
              <w:rPr>
                <w:rFonts w:hint="eastAsia" w:ascii="宋体" w:hAnsi="宋体" w:eastAsia="宋体" w:cs="宋体"/>
                <w:color w:val="auto"/>
                <w:sz w:val="28"/>
                <w:szCs w:val="28"/>
                <w:highlight w:val="none"/>
                <w:lang w:val="en-US" w:eastAsia="zh-CN"/>
              </w:rPr>
              <w:t>2024—2030年建设燕矶、红莲湖、梧桐湖、碧石、球团厂5座高中压调压站，至2035年建设梁子、沼山、涂家宅俊、涂家垴、毛塘等5座无人值守次高压（中压）调压计量柜。</w:t>
            </w:r>
          </w:p>
          <w:p>
            <w:pPr>
              <w:keepNext w:val="0"/>
              <w:keepLines w:val="0"/>
              <w:pageBreakBefore w:val="0"/>
              <w:widowControl w:val="0"/>
              <w:numPr>
                <w:ilvl w:val="0"/>
                <w:numId w:val="0"/>
              </w:numPr>
              <w:kinsoku/>
              <w:wordWrap/>
              <w:overflowPunct/>
              <w:topLinePunct w:val="0"/>
              <w:autoSpaceDE/>
              <w:autoSpaceDN/>
              <w:bidi w:val="0"/>
              <w:ind w:firstLine="560" w:firstLineChars="200"/>
              <w:outlineLvl w:val="9"/>
              <w:rPr>
                <w:rFonts w:hint="eastAsia" w:ascii="宋体" w:hAnsi="宋体" w:eastAsia="宋体" w:cs="宋体"/>
                <w:color w:val="auto"/>
                <w:sz w:val="28"/>
                <w:szCs w:val="28"/>
                <w:highlight w:val="none"/>
                <w:lang w:val="en-US" w:eastAsia="zh-CN"/>
              </w:rPr>
            </w:pPr>
            <w:r>
              <w:rPr>
                <w:rFonts w:hint="eastAsia" w:ascii="Times New Roman" w:hAnsi="Times New Roman" w:eastAsia="CESI黑体-GB2312" w:cs="Times New Roman"/>
                <w:bCs w:val="0"/>
                <w:color w:val="auto"/>
                <w:sz w:val="28"/>
                <w:szCs w:val="28"/>
                <w:shd w:val="clear" w:color="auto" w:fill="FFFFFF"/>
                <w:lang w:val="en-US" w:eastAsia="zh-CN" w:bidi="ar"/>
              </w:rPr>
              <w:t>2.</w:t>
            </w:r>
            <w:r>
              <w:rPr>
                <w:rFonts w:hint="default" w:ascii="Times New Roman" w:hAnsi="Times New Roman" w:eastAsia="CESI黑体-GB2312" w:cs="Times New Roman"/>
                <w:bCs w:val="0"/>
                <w:color w:val="auto"/>
                <w:sz w:val="28"/>
                <w:szCs w:val="28"/>
                <w:highlight w:val="none"/>
                <w:shd w:val="clear" w:color="auto" w:fill="FFFFFF"/>
                <w:lang w:val="en-US" w:eastAsia="zh-CN" w:bidi="ar"/>
              </w:rPr>
              <w:t>燃气管道</w:t>
            </w:r>
            <w:r>
              <w:rPr>
                <w:rFonts w:hint="default" w:ascii="Times New Roman" w:hAnsi="Times New Roman" w:eastAsia="CESI黑体-GB2312" w:cs="Times New Roman"/>
                <w:b w:val="0"/>
                <w:bCs w:val="0"/>
                <w:color w:val="auto"/>
                <w:sz w:val="28"/>
                <w:szCs w:val="28"/>
                <w:highlight w:val="none"/>
                <w:shd w:val="clear" w:color="auto" w:fill="FFFFFF"/>
                <w:lang w:val="en-US" w:eastAsia="zh-CN" w:bidi="ar"/>
              </w:rPr>
              <w:t>更新</w:t>
            </w:r>
            <w:r>
              <w:rPr>
                <w:rFonts w:hint="default" w:ascii="Times New Roman" w:hAnsi="Times New Roman" w:eastAsia="CESI黑体-GB2312" w:cs="Times New Roman"/>
                <w:bCs w:val="0"/>
                <w:color w:val="auto"/>
                <w:sz w:val="28"/>
                <w:szCs w:val="28"/>
                <w:highlight w:val="none"/>
                <w:shd w:val="clear" w:color="auto" w:fill="FFFFFF"/>
                <w:lang w:val="en-US" w:eastAsia="zh-CN" w:bidi="ar"/>
              </w:rPr>
              <w:t>工程：</w:t>
            </w:r>
            <w:r>
              <w:rPr>
                <w:rFonts w:hint="eastAsia" w:ascii="宋体" w:hAnsi="宋体" w:eastAsia="宋体" w:cs="宋体"/>
                <w:color w:val="auto"/>
                <w:sz w:val="28"/>
                <w:szCs w:val="28"/>
                <w:highlight w:val="none"/>
                <w:lang w:val="en-US" w:eastAsia="zh-CN"/>
              </w:rPr>
              <w:t>忠武线武黄支线管道迁改线路约为12.5公里，仪长线大武支线管道迁改线路约为15.7公里。鄂城区泽林－碧石-汀祖、燕矶－新庙－沙窝、杜山－长港中压管道更新改造项目，更新改造线路约83.6公里。</w:t>
            </w:r>
          </w:p>
          <w:p>
            <w:pPr>
              <w:numPr>
                <w:ilvl w:val="0"/>
                <w:numId w:val="0"/>
              </w:numPr>
              <w:ind w:firstLine="640"/>
              <w:outlineLvl w:val="9"/>
              <w:rPr>
                <w:rFonts w:hint="eastAsia" w:ascii="宋体" w:hAnsi="宋体" w:eastAsia="宋体" w:cs="宋体"/>
                <w:color w:val="auto"/>
                <w:sz w:val="28"/>
                <w:szCs w:val="28"/>
                <w:highlight w:val="none"/>
                <w:lang w:val="en-US" w:eastAsia="zh-CN"/>
              </w:rPr>
            </w:pPr>
            <w:r>
              <w:rPr>
                <w:rFonts w:hint="eastAsia" w:ascii="Times New Roman" w:hAnsi="Times New Roman" w:eastAsia="CESI黑体-GB2312" w:cs="Times New Roman"/>
                <w:bCs w:val="0"/>
                <w:color w:val="auto"/>
                <w:sz w:val="28"/>
                <w:szCs w:val="28"/>
                <w:shd w:val="clear" w:color="auto" w:fill="FFFFFF"/>
                <w:lang w:val="en-US" w:eastAsia="zh-CN" w:bidi="ar"/>
              </w:rPr>
              <w:t>3.</w:t>
            </w:r>
            <w:r>
              <w:rPr>
                <w:rFonts w:hint="eastAsia" w:ascii="Times New Roman" w:hAnsi="Times New Roman" w:eastAsia="CESI黑体-GB2312" w:cs="Times New Roman"/>
                <w:bCs w:val="0"/>
                <w:color w:val="auto"/>
                <w:sz w:val="28"/>
                <w:szCs w:val="28"/>
                <w:highlight w:val="none"/>
                <w:shd w:val="clear" w:color="auto" w:fill="FFFFFF"/>
                <w:lang w:val="en-US" w:eastAsia="zh-CN" w:bidi="ar"/>
              </w:rPr>
              <w:t>燃气管网建设工程：</w:t>
            </w:r>
            <w:r>
              <w:rPr>
                <w:rFonts w:hint="eastAsia" w:ascii="宋体" w:hAnsi="宋体" w:eastAsia="宋体" w:cs="宋体"/>
                <w:color w:val="auto"/>
                <w:sz w:val="28"/>
                <w:szCs w:val="28"/>
                <w:highlight w:val="none"/>
                <w:lang w:val="en-US" w:eastAsia="zh-CN"/>
              </w:rPr>
              <w:t>新建高压管道78.34公里，次高压管道66.2公里，中压管道1177.4公里。</w:t>
            </w:r>
          </w:p>
          <w:p>
            <w:pPr>
              <w:numPr>
                <w:ilvl w:val="0"/>
                <w:numId w:val="0"/>
              </w:numPr>
              <w:ind w:firstLine="640"/>
              <w:outlineLvl w:val="9"/>
              <w:rPr>
                <w:rFonts w:hint="eastAsia" w:ascii="宋体" w:hAnsi="宋体" w:eastAsia="宋体" w:cs="宋体"/>
                <w:sz w:val="28"/>
                <w:szCs w:val="28"/>
                <w:lang w:val="en-US" w:eastAsia="zh-CN"/>
              </w:rPr>
            </w:pPr>
            <w:r>
              <w:rPr>
                <w:rFonts w:hint="eastAsia" w:ascii="Times New Roman" w:hAnsi="Times New Roman" w:eastAsia="CESI黑体-GB2312" w:cs="Times New Roman"/>
                <w:bCs w:val="0"/>
                <w:color w:val="auto"/>
                <w:sz w:val="28"/>
                <w:szCs w:val="28"/>
                <w:shd w:val="clear" w:color="auto" w:fill="FFFFFF"/>
                <w:lang w:val="en-US" w:eastAsia="zh-CN" w:bidi="ar"/>
              </w:rPr>
              <w:t>4.</w:t>
            </w:r>
            <w:r>
              <w:rPr>
                <w:rFonts w:hint="eastAsia" w:ascii="Times New Roman" w:hAnsi="Times New Roman" w:eastAsia="CESI黑体-GB2312" w:cs="Times New Roman"/>
                <w:bCs w:val="0"/>
                <w:color w:val="auto"/>
                <w:sz w:val="28"/>
                <w:szCs w:val="28"/>
                <w:highlight w:val="none"/>
                <w:shd w:val="clear" w:color="auto" w:fill="FFFFFF"/>
                <w:lang w:val="en-US" w:eastAsia="zh-CN" w:bidi="ar"/>
              </w:rPr>
              <w:t>LNG加气站工程：</w:t>
            </w:r>
            <w:r>
              <w:rPr>
                <w:rFonts w:hint="eastAsia" w:ascii="宋体" w:hAnsi="宋体" w:eastAsia="宋体" w:cs="宋体"/>
                <w:color w:val="auto"/>
                <w:sz w:val="28"/>
                <w:szCs w:val="28"/>
                <w:highlight w:val="none"/>
                <w:lang w:val="en-US" w:eastAsia="zh-CN"/>
              </w:rPr>
              <w:t>新建LNG汽车加气站5座，2024—2030年，新建2座，单站设计规模为3.0万Nm³/d。2030—2035年，新建3座，单座设计规模为1.5万Nm³/d。</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outlineLvl w:val="9"/>
              <w:rPr>
                <w:rFonts w:hint="default" w:ascii="Times New Roman Regular" w:hAnsi="Times New Roman Regular" w:cs="Times New Roman Regular"/>
                <w:color w:val="auto"/>
                <w:highlight w:val="none"/>
                <w:vertAlign w:val="baseline"/>
                <w:lang w:val="en-US" w:eastAsia="zh-CN"/>
              </w:rPr>
            </w:pPr>
            <w:r>
              <w:rPr>
                <w:rFonts w:hint="eastAsia" w:ascii="Times New Roman" w:hAnsi="Times New Roman" w:eastAsia="CESI黑体-GB2312" w:cs="Times New Roman"/>
                <w:bCs w:val="0"/>
                <w:color w:val="auto"/>
                <w:sz w:val="28"/>
                <w:szCs w:val="28"/>
                <w:shd w:val="clear" w:color="auto" w:fill="FFFFFF"/>
                <w:lang w:val="en-US" w:eastAsia="zh-CN" w:bidi="ar"/>
              </w:rPr>
              <w:t>5.</w:t>
            </w:r>
            <w:r>
              <w:rPr>
                <w:rFonts w:hint="default" w:ascii="Times New Roman" w:hAnsi="Times New Roman" w:eastAsia="CESI黑体-GB2312" w:cs="Times New Roman"/>
                <w:bCs w:val="0"/>
                <w:color w:val="auto"/>
                <w:sz w:val="28"/>
                <w:szCs w:val="28"/>
                <w:highlight w:val="none"/>
                <w:shd w:val="clear" w:color="auto" w:fill="FFFFFF"/>
                <w:lang w:val="en-US" w:eastAsia="zh-CN" w:bidi="ar"/>
              </w:rPr>
              <w:t>燃气储备工程：</w:t>
            </w:r>
            <w:r>
              <w:rPr>
                <w:rFonts w:hint="eastAsia" w:ascii="宋体" w:hAnsi="宋体" w:eastAsia="宋体" w:cs="宋体"/>
                <w:color w:val="auto"/>
                <w:sz w:val="28"/>
                <w:szCs w:val="28"/>
                <w:highlight w:val="none"/>
                <w:lang w:val="en-US" w:eastAsia="zh-CN"/>
              </w:rPr>
              <w:t>在现状三江港LNG应急储备站的南侧建设完成1座三江港2#LNG储配站，占地约30亩，储存规模为1000m³。</w:t>
            </w:r>
          </w:p>
        </w:tc>
      </w:tr>
    </w:tbl>
    <w:p>
      <w:pPr>
        <w:pStyle w:val="22"/>
        <w:numPr>
          <w:ilvl w:val="0"/>
          <w:numId w:val="2"/>
        </w:numPr>
        <w:autoSpaceDE/>
        <w:autoSpaceDN/>
        <w:spacing w:line="560" w:lineRule="exact"/>
        <w:ind w:firstLine="640" w:firstLineChars="200"/>
        <w:outlineLvl w:val="0"/>
        <w:rPr>
          <w:rFonts w:hint="eastAsia" w:ascii="黑体" w:hAnsi="黑体" w:eastAsia="黑体" w:cs="黑体"/>
          <w:i w:val="0"/>
          <w:iCs w:val="0"/>
          <w:caps w:val="0"/>
          <w:color w:val="auto"/>
          <w:spacing w:val="0"/>
          <w:sz w:val="32"/>
          <w:szCs w:val="23"/>
          <w:highlight w:val="none"/>
          <w:shd w:val="clear" w:fill="FFFFFF"/>
          <w:lang w:val="en-US" w:eastAsia="zh-CN"/>
        </w:rPr>
      </w:pPr>
      <w:bookmarkStart w:id="100" w:name="_Toc30965"/>
      <w:bookmarkStart w:id="101" w:name="_Toc1787"/>
      <w:bookmarkStart w:id="102" w:name="_Toc18654"/>
      <w:r>
        <w:rPr>
          <w:rFonts w:hint="eastAsia" w:ascii="黑体" w:hAnsi="黑体" w:eastAsia="黑体" w:cs="黑体"/>
          <w:b w:val="0"/>
          <w:bCs/>
          <w:i w:val="0"/>
          <w:iCs w:val="0"/>
          <w:caps w:val="0"/>
          <w:color w:val="auto"/>
          <w:spacing w:val="0"/>
          <w:sz w:val="32"/>
          <w:szCs w:val="23"/>
          <w:highlight w:val="none"/>
          <w:shd w:val="clear" w:fill="FFFFFF"/>
        </w:rPr>
        <w:t>深化终端用能清洁替代</w:t>
      </w:r>
      <w:r>
        <w:rPr>
          <w:rFonts w:hint="eastAsia" w:ascii="黑体" w:hAnsi="黑体" w:eastAsia="黑体" w:cs="黑体"/>
          <w:i w:val="0"/>
          <w:iCs w:val="0"/>
          <w:caps w:val="0"/>
          <w:color w:val="auto"/>
          <w:spacing w:val="0"/>
          <w:sz w:val="32"/>
          <w:szCs w:val="23"/>
          <w:highlight w:val="none"/>
          <w:shd w:val="clear" w:fill="FFFFFF"/>
          <w:lang w:val="en-US" w:eastAsia="zh-CN"/>
        </w:rPr>
        <w:t>，推进用能低碳转型</w:t>
      </w:r>
      <w:bookmarkEnd w:id="100"/>
      <w:bookmarkEnd w:id="101"/>
      <w:bookmarkEnd w:id="102"/>
    </w:p>
    <w:p>
      <w:pPr>
        <w:pStyle w:val="22"/>
        <w:numPr>
          <w:ilvl w:val="0"/>
          <w:numId w:val="7"/>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03" w:name="_Toc31896"/>
      <w:bookmarkStart w:id="104" w:name="_Toc17432"/>
      <w:bookmarkStart w:id="105" w:name="_Toc4026"/>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构建清洁高效用能结构</w:t>
      </w:r>
      <w:bookmarkEnd w:id="103"/>
      <w:bookmarkEnd w:id="104"/>
      <w:bookmarkEnd w:id="105"/>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eastAsia" w:ascii="Times New Roman Regular" w:hAnsi="Times New Roman Regular" w:cs="Times New Roman Regular"/>
          <w:b/>
          <w:bCs w:val="0"/>
          <w:color w:val="auto"/>
          <w:szCs w:val="32"/>
          <w:highlight w:val="none"/>
          <w:lang w:val="en-US" w:eastAsia="zh-CN"/>
        </w:rPr>
        <w:t>推动能源集约高效利用。</w:t>
      </w:r>
      <w:r>
        <w:rPr>
          <w:rFonts w:hint="default" w:ascii="Times New Roman Regular" w:hAnsi="Times New Roman Regular" w:cs="Times New Roman Regular"/>
          <w:color w:val="auto"/>
          <w:highlight w:val="none"/>
          <w:lang w:val="en-US" w:eastAsia="zh-CN"/>
        </w:rPr>
        <w:t>推进产业结构优化升级，打造一批产业集群和产业示范基地。通过产业升级合理调整能源消费分布，实现能源优先就地平衡，减少能源流通环节损耗。积极探索</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绿电直连</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新模式，支持葛店经济技术开发区</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高载能企业开展绿电直连试点，突破电网接入瓶颈，建立</w:t>
      </w:r>
      <w:r>
        <w:rPr>
          <w:rFonts w:hint="eastAsia" w:ascii="Times New Roman Regular" w:hAnsi="Times New Roman Regular" w:cs="Times New Roman Regular"/>
          <w:color w:val="auto"/>
          <w:highlight w:val="none"/>
          <w:lang w:val="en-US" w:eastAsia="zh-CN"/>
        </w:rPr>
        <w:t>“（电）场</w:t>
      </w:r>
      <w:r>
        <w:rPr>
          <w:rFonts w:hint="default" w:ascii="Times New Roman Regular" w:hAnsi="Times New Roman Regular" w:cs="Times New Roman Regular"/>
          <w:color w:val="auto"/>
          <w:highlight w:val="none"/>
          <w:lang w:val="en-US" w:eastAsia="zh-CN"/>
        </w:rPr>
        <w:t>对园</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点对点</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的绿色电力直接供应机制。进一步加强新型工业化、城镇化发展和能源发展的内在融合</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优化公共机构用能结构，减少煤炭等化石燃料消费，推广新能源新技术。组团集群发展低碳产业，积极推进清洁生产模式、EMC（合同能源管理模式）等循环经济模式，拓展节能环保产品市场，构建以低碳产业为核心的产业体系，树立绿色城市品牌。</w:t>
      </w:r>
      <w:r>
        <w:rPr>
          <w:rFonts w:hint="default" w:ascii="Times New Roman Regular" w:hAnsi="Times New Roman Regular" w:eastAsia="仿宋_GB2312" w:cs="Times New Roman Regular"/>
          <w:color w:val="auto"/>
          <w:kern w:val="0"/>
          <w:sz w:val="32"/>
          <w:szCs w:val="32"/>
          <w:highlight w:val="none"/>
          <w:lang w:val="en-US" w:eastAsia="zh-CN" w:bidi="ar"/>
        </w:rPr>
        <w:t>有序推进全市供热改造，</w:t>
      </w:r>
      <w:r>
        <w:rPr>
          <w:rFonts w:hint="default" w:ascii="Times New Roman Regular" w:hAnsi="Times New Roman Regular" w:cs="Times New Roman Regular"/>
          <w:color w:val="auto"/>
          <w:kern w:val="0"/>
          <w:sz w:val="32"/>
          <w:szCs w:val="32"/>
          <w:highlight w:val="none"/>
          <w:lang w:val="en-US" w:eastAsia="zh-CN" w:bidi="ar"/>
        </w:rPr>
        <w:t>支持鄂州电厂供热改造项目、</w:t>
      </w:r>
      <w:r>
        <w:rPr>
          <w:rFonts w:hint="default" w:ascii="Times New Roman Regular" w:hAnsi="Times New Roman Regular" w:cs="Times New Roman Regular"/>
          <w:color w:val="auto"/>
          <w:highlight w:val="none"/>
          <w:lang w:val="en-US" w:eastAsia="zh-CN"/>
        </w:rPr>
        <w:t>鄂钢热电</w:t>
      </w:r>
      <w:r>
        <w:rPr>
          <w:rFonts w:hint="default" w:ascii="Times New Roman Regular" w:hAnsi="Times New Roman Regular" w:cs="Times New Roman Regular"/>
          <w:color w:val="auto"/>
          <w:highlight w:val="none"/>
        </w:rPr>
        <w:t>联产项目建设</w:t>
      </w:r>
      <w:r>
        <w:rPr>
          <w:rFonts w:hint="default" w:ascii="Times New Roman Regular" w:hAnsi="Times New Roman Regular" w:cs="Times New Roman Regular"/>
          <w:color w:val="auto"/>
          <w:highlight w:val="none"/>
          <w:lang w:eastAsia="zh-CN"/>
        </w:rPr>
        <w:t>。</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eastAsia" w:ascii="Times New Roman Regular" w:hAnsi="Times New Roman Regular" w:cs="Times New Roman Regular"/>
          <w:b/>
          <w:bCs w:val="0"/>
          <w:color w:val="auto"/>
          <w:highlight w:val="none"/>
          <w:lang w:val="en-US" w:eastAsia="zh-CN"/>
        </w:rPr>
        <w:t>着力提高绿电使用比例。</w:t>
      </w:r>
      <w:r>
        <w:rPr>
          <w:rFonts w:hint="default" w:ascii="Times New Roman Regular" w:hAnsi="Times New Roman Regular" w:cs="Times New Roman Regular"/>
          <w:color w:val="auto"/>
          <w:highlight w:val="none"/>
          <w:lang w:val="en-US" w:eastAsia="zh-CN"/>
        </w:rPr>
        <w:t>落实</w:t>
      </w:r>
      <w:bookmarkStart w:id="106" w:name="OLE_LINK6"/>
      <w:r>
        <w:rPr>
          <w:rFonts w:hint="eastAsia" w:ascii="Times New Roman Regular" w:hAnsi="Times New Roman Regular" w:cs="Times New Roman Regular"/>
          <w:color w:val="auto"/>
          <w:highlight w:val="none"/>
          <w:lang w:val="en-US" w:eastAsia="zh-CN"/>
        </w:rPr>
        <w:t>碳排放双控</w:t>
      </w:r>
      <w:bookmarkEnd w:id="106"/>
      <w:r>
        <w:rPr>
          <w:rFonts w:hint="default" w:ascii="Times New Roman Regular" w:hAnsi="Times New Roman Regular" w:cs="Times New Roman Regular"/>
          <w:color w:val="auto"/>
          <w:highlight w:val="none"/>
          <w:lang w:val="en-US" w:eastAsia="zh-CN"/>
        </w:rPr>
        <w:t>政策要求</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深入开展绿证、绿电宣传和推广工作，鼓励各用能单位主动承担可再生能源电力消费社会责任，引导鄂州市国有企业、外向型企业、行业龙头企业购买绿证、使用绿电，稳步提升绿电消费比例。按照省级政策强化</w:t>
      </w:r>
      <w:r>
        <w:rPr>
          <w:rFonts w:hint="eastAsia" w:ascii="Times New Roman Regular" w:hAnsi="Times New Roman Regular" w:cs="Times New Roman Regular"/>
          <w:color w:val="auto"/>
          <w:highlight w:val="none"/>
          <w:lang w:val="en-US" w:eastAsia="zh-CN"/>
        </w:rPr>
        <w:t>高耗能</w:t>
      </w:r>
      <w:r>
        <w:rPr>
          <w:rFonts w:hint="default" w:ascii="Times New Roman Regular" w:hAnsi="Times New Roman Regular" w:cs="Times New Roman Regular"/>
          <w:color w:val="auto"/>
          <w:highlight w:val="none"/>
          <w:lang w:val="en-US" w:eastAsia="zh-CN"/>
        </w:rPr>
        <w:t>企业绿电消费责任，实施精细化管理，按要求提升绿电消费水平。依托分布式光伏发电、并网型微电网和充电基础设施等，开拓</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新能源+产消</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一体化发展模式，提升绿电供应能力。积极打造高载能产业低碳转型园区、绿氢（氨醇）制运储园区，支持</w:t>
      </w:r>
      <w:r>
        <w:rPr>
          <w:rFonts w:hint="eastAsia" w:ascii="Times New Roman Regular" w:hAnsi="Times New Roman Regular" w:cs="Times New Roman Regular"/>
          <w:color w:val="auto"/>
          <w:highlight w:val="none"/>
          <w:lang w:val="en-US" w:eastAsia="zh-CN"/>
        </w:rPr>
        <w:t>鄂城区</w:t>
      </w:r>
      <w:r>
        <w:rPr>
          <w:rFonts w:hint="default" w:ascii="Times New Roman Regular" w:hAnsi="Times New Roman Regular" w:cs="Times New Roman Regular"/>
          <w:color w:val="auto"/>
          <w:highlight w:val="none"/>
          <w:lang w:val="en-US" w:eastAsia="zh-CN"/>
        </w:rPr>
        <w:t>打造绿色电力城市。</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eastAsia" w:ascii="Times New Roman Regular" w:hAnsi="Times New Roman Regular" w:cs="Times New Roman Regular"/>
          <w:b/>
          <w:bCs w:val="0"/>
          <w:color w:val="auto"/>
          <w:highlight w:val="none"/>
          <w:lang w:val="en-US" w:eastAsia="zh-CN"/>
        </w:rPr>
        <w:t>加快推进清洁能源替代。</w:t>
      </w:r>
      <w:r>
        <w:rPr>
          <w:rFonts w:hint="default" w:ascii="Times New Roman Regular" w:hAnsi="Times New Roman Regular" w:cs="Times New Roman Regular"/>
          <w:color w:val="auto"/>
          <w:highlight w:val="none"/>
          <w:lang w:val="en-US" w:eastAsia="zh-CN"/>
        </w:rPr>
        <w:t>继续提升电能终端消费比重，加快终端用能电气化，因地制宜推进居民生活、工业制造、农业生产、交通运输、农业农村等领域电能替代工作，持续推进</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油改电</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工作力度。大力推广新能源汽车，鼓励公交、出租、环卫、物流、景区等城市公共服务车辆逐步清洁化替代。持续提升农业生产领域电气化水平，加大电气化技术推广力度</w:t>
      </w:r>
      <w:r>
        <w:rPr>
          <w:rFonts w:hint="eastAsia" w:ascii="Times New Roman Regular" w:hAnsi="Times New Roman Regular" w:cs="Times New Roman Regular"/>
          <w:color w:val="auto"/>
          <w:highlight w:val="none"/>
          <w:lang w:val="en-US" w:eastAsia="zh-CN"/>
        </w:rPr>
        <w:t>，高标准推进三山湖农村新型能源革命示范区建设，统筹布局光储直柔、源网荷储一体化微电网体系，打造“新能源+渔业+文旅+科普”近零碳乡村样板，助力农村用能清洁转型。</w:t>
      </w:r>
      <w:r>
        <w:rPr>
          <w:rFonts w:hint="default" w:ascii="Times New Roman Regular" w:hAnsi="Times New Roman Regular" w:cs="Times New Roman Regular"/>
          <w:color w:val="auto"/>
          <w:highlight w:val="none"/>
          <w:lang w:val="en-US" w:eastAsia="zh-CN"/>
        </w:rPr>
        <w:t>在宾馆、商场等大型商业综合体、交通枢纽、工厂车间、办公楼、学校等场所推广空气源热泵、水源热泵、中央空调等，实施集中供暖、供冷，因地制宜推进可再生能源建筑应用，推行光伏建筑一体化。推动终端能源消费转型由电能替代为主向电、氢、氨等多元清洁替代转变，推动主要用能领域成为能源转型的重要引擎</w:t>
      </w:r>
      <w:r>
        <w:rPr>
          <w:rFonts w:hint="eastAsia" w:ascii="Times New Roman Regular" w:hAnsi="Times New Roman Regular" w:cs="Times New Roman Regular"/>
          <w:color w:val="auto"/>
          <w:highlight w:val="none"/>
          <w:lang w:val="en-US" w:eastAsia="zh-CN"/>
        </w:rPr>
        <w:t>，鼓励</w:t>
      </w:r>
      <w:r>
        <w:rPr>
          <w:rFonts w:hint="default" w:ascii="Times New Roman Regular" w:hAnsi="Times New Roman Regular" w:cs="Times New Roman Regular"/>
          <w:color w:val="auto"/>
          <w:highlight w:val="none"/>
          <w:lang w:val="en-US" w:eastAsia="zh-CN"/>
        </w:rPr>
        <w:t>工业生产领域扩大氢、氨、醇等能源的替代应用。</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val="0"/>
          <w:color w:val="auto"/>
          <w:highlight w:val="none"/>
          <w:lang w:val="en-US" w:eastAsia="zh-CN"/>
        </w:rPr>
        <w:t>加强智慧运维管理</w:t>
      </w:r>
      <w:r>
        <w:rPr>
          <w:rFonts w:hint="eastAsia" w:ascii="Times New Roman Regular" w:hAnsi="Times New Roman Regular" w:cs="Times New Roman Regular"/>
          <w:b/>
          <w:bCs w:val="0"/>
          <w:color w:val="auto"/>
          <w:highlight w:val="none"/>
          <w:lang w:val="en-US" w:eastAsia="zh-CN"/>
        </w:rPr>
        <w:t>。</w:t>
      </w:r>
      <w:r>
        <w:rPr>
          <w:rFonts w:hint="default" w:ascii="Times New Roman Regular" w:hAnsi="Times New Roman Regular" w:cs="Times New Roman Regular"/>
          <w:color w:val="auto"/>
          <w:highlight w:val="none"/>
          <w:lang w:val="en-US" w:eastAsia="zh-CN"/>
        </w:rPr>
        <w:t>推广电力设备状态检修、厂站智能运行、作业机器人替代、大数据辅助决策等技术应用，推进光伏电站数字化与无人化管理，推动构网型技术应用，开展新一代调度自动化系统示范。重点推进以多能互补的清洁能源基地、源网荷储一体化项目、园区能源综合服务等新模式新业态为依托，开展智能调度、能效管理等智慧能源技术示范。</w:t>
      </w:r>
    </w:p>
    <w:p>
      <w:pPr>
        <w:pStyle w:val="22"/>
        <w:numPr>
          <w:ilvl w:val="0"/>
          <w:numId w:val="7"/>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07" w:name="_Toc25437"/>
      <w:bookmarkStart w:id="108" w:name="_Toc6402"/>
      <w:bookmarkStart w:id="109" w:name="_Toc1104"/>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深挖重点领域节能降碳潜力</w:t>
      </w:r>
      <w:bookmarkEnd w:id="107"/>
      <w:bookmarkEnd w:id="108"/>
      <w:bookmarkEnd w:id="109"/>
    </w:p>
    <w:p>
      <w:pPr>
        <w:spacing w:line="560" w:lineRule="exact"/>
        <w:ind w:firstLine="642" w:firstLineChars="200"/>
        <w:rPr>
          <w:rFonts w:hint="default" w:ascii="Times New Roman" w:hAnsi="Times New Roman" w:cs="仿宋_GB2312"/>
          <w:b w:val="0"/>
          <w:bCs w:val="0"/>
          <w:color w:val="auto"/>
          <w:sz w:val="32"/>
          <w:szCs w:val="32"/>
          <w:highlight w:val="none"/>
          <w:lang w:val="en-US" w:eastAsia="zh-CN"/>
        </w:rPr>
      </w:pPr>
      <w:r>
        <w:rPr>
          <w:rFonts w:hint="eastAsia" w:ascii="Times New Roman Regular" w:hAnsi="Times New Roman Regular" w:cs="Times New Roman Regular"/>
          <w:b/>
          <w:bCs/>
          <w:color w:val="auto"/>
          <w:highlight w:val="none"/>
          <w:lang w:val="en-US" w:eastAsia="zh-CN"/>
        </w:rPr>
        <w:t>加强煤炭清洁高效利用。</w:t>
      </w:r>
      <w:r>
        <w:rPr>
          <w:rFonts w:hint="default" w:ascii="Times New Roman Regular" w:hAnsi="Times New Roman Regular" w:cs="Times New Roman Regular"/>
          <w:color w:val="auto"/>
          <w:highlight w:val="none"/>
          <w:lang w:val="en-US" w:eastAsia="zh-CN"/>
        </w:rPr>
        <w:t>面向新型电力系统需求，支持煤电企业</w:t>
      </w:r>
      <w:r>
        <w:rPr>
          <w:rFonts w:hint="default" w:ascii="Times New Roman Regular" w:hAnsi="Times New Roman Regular" w:cs="Times New Roman Regular"/>
          <w:color w:val="auto"/>
          <w:highlight w:val="none"/>
        </w:rPr>
        <w:t>采用大容量、高参数、低能耗</w:t>
      </w:r>
      <w:r>
        <w:rPr>
          <w:rFonts w:hint="default" w:ascii="Times New Roman Regular" w:hAnsi="Times New Roman Regular" w:cs="Times New Roman Regular"/>
          <w:color w:val="auto"/>
          <w:highlight w:val="none"/>
          <w:lang w:val="en-US" w:eastAsia="zh-CN"/>
        </w:rPr>
        <w:t>的煤电机组，高效发挥煤电调峰作用，推动煤电向基础保障型和系统调节型电源并重转型。大力推动煤电机组进行低碳化改造，支持生物质掺烧、绿氨掺烧、碳捕集利用与封存（CCUS）等改造建设方式。支持鄂州电厂通过锅炉低氮燃烧、汽轮机通流改造、脱硝精准喷氨等技术手段加速低碳转型。力争到2030年，煤电机组平均碳排放水平完成省</w:t>
      </w:r>
      <w:r>
        <w:rPr>
          <w:rFonts w:hint="eastAsia" w:ascii="Times New Roman Regular" w:hAnsi="Times New Roman Regular" w:cs="Times New Roman Regular"/>
          <w:color w:val="auto"/>
          <w:highlight w:val="none"/>
          <w:lang w:val="en-US" w:eastAsia="zh-CN"/>
        </w:rPr>
        <w:t>级</w:t>
      </w:r>
      <w:r>
        <w:rPr>
          <w:rFonts w:hint="default" w:ascii="Times New Roman Regular" w:hAnsi="Times New Roman Regular" w:cs="Times New Roman Regular"/>
          <w:color w:val="auto"/>
          <w:highlight w:val="none"/>
          <w:lang w:val="en-US" w:eastAsia="zh-CN"/>
        </w:rPr>
        <w:t>下达煤电低碳化改造目标。</w:t>
      </w:r>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eastAsia" w:ascii="Times New Roman Regular" w:hAnsi="Times New Roman Regular" w:cs="Times New Roman Regular"/>
          <w:b/>
          <w:bCs w:val="0"/>
          <w:color w:val="auto"/>
          <w:highlight w:val="none"/>
          <w:lang w:val="en-US" w:eastAsia="zh-CN"/>
        </w:rPr>
        <w:t>加快推动建筑领域节能降碳。</w:t>
      </w:r>
      <w:r>
        <w:rPr>
          <w:rFonts w:hint="eastAsia" w:ascii="Times New Roman Regular" w:hAnsi="Times New Roman Regular" w:cs="Times New Roman Regular"/>
          <w:color w:val="auto"/>
          <w:highlight w:val="none"/>
          <w:lang w:val="en-US" w:eastAsia="zh-CN"/>
        </w:rPr>
        <w:t>鼓励发展超低能耗建筑，优化新建建筑节能降碳设计，对新建建筑严格执行节能降碳强制性标准。结合城市更新、老旧小区改造推动既有建筑改造升级，重点针对空调、照明、电梯、外墙和门窗。推动建筑用能低碳转型，探索工业厂房、公共建筑、居住建筑等新建建筑光伏一体化试点建设，强化建筑运行节能降碳管理，因地制宜推进热电联产集中供暖，支持建筑领域地热能、生物质能、太阳能供热应用。提升农村建筑绿色低碳水平，有序开展既有农房节能改造，推动农村用能低碳转型，引导农民减少煤炭燃烧使用，鼓励因地制宜使用电力、天然气和可再生能源。</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eastAsia="仿宋_GB2312" w:cs="Times New Roman Regular"/>
          <w:color w:val="auto"/>
          <w:highlight w:val="none"/>
          <w:lang w:val="en-US" w:eastAsia="zh-CN"/>
        </w:rPr>
      </w:pPr>
      <w:r>
        <w:rPr>
          <w:rFonts w:hint="eastAsia" w:ascii="Times New Roman Regular" w:hAnsi="Times New Roman Regular" w:cs="Times New Roman Regular"/>
          <w:b/>
          <w:bCs w:val="0"/>
          <w:color w:val="auto"/>
          <w:highlight w:val="none"/>
          <w:lang w:val="en-US" w:eastAsia="zh-CN"/>
        </w:rPr>
        <w:t>加快推动交通能源融合发展。</w:t>
      </w:r>
      <w:r>
        <w:rPr>
          <w:rFonts w:hint="eastAsia" w:ascii="Times New Roman Regular" w:hAnsi="Times New Roman Regular" w:cs="Times New Roman Regular"/>
          <w:color w:val="auto"/>
          <w:highlight w:val="none"/>
          <w:lang w:val="en-US" w:eastAsia="zh-CN"/>
        </w:rPr>
        <w:t>提高新能源汽车渗透率，加大新能源车辆在城市交通、物流、机场、铁路、港口等场景的应用，</w:t>
      </w:r>
      <w:r>
        <w:rPr>
          <w:rFonts w:hint="eastAsia"/>
          <w:color w:val="auto"/>
          <w:highlight w:val="none"/>
          <w:lang w:val="en-US" w:eastAsia="zh-CN"/>
        </w:rPr>
        <w:t>支持宁德时代充电一体化等项目</w:t>
      </w:r>
      <w:r>
        <w:rPr>
          <w:rFonts w:hint="eastAsia"/>
          <w:color w:val="auto"/>
          <w:highlight w:val="none"/>
          <w:lang w:eastAsia="zh-CN"/>
        </w:rPr>
        <w:t>，</w:t>
      </w:r>
      <w:r>
        <w:rPr>
          <w:rFonts w:hint="eastAsia"/>
          <w:color w:val="auto"/>
          <w:highlight w:val="none"/>
        </w:rPr>
        <w:t>鼓励</w:t>
      </w:r>
      <w:r>
        <w:rPr>
          <w:rFonts w:hint="eastAsia"/>
          <w:color w:val="auto"/>
          <w:highlight w:val="none"/>
          <w:lang w:eastAsia="zh-CN"/>
        </w:rPr>
        <w:t>相关企业</w:t>
      </w:r>
      <w:r>
        <w:rPr>
          <w:rFonts w:hint="eastAsia"/>
          <w:color w:val="auto"/>
          <w:highlight w:val="none"/>
        </w:rPr>
        <w:t>充分利用边坡、匝道、互通等红线范围内土地及存量土地，打造</w:t>
      </w:r>
      <w:r>
        <w:rPr>
          <w:rFonts w:hint="eastAsia"/>
          <w:color w:val="auto"/>
          <w:highlight w:val="none"/>
          <w:lang w:eastAsia="zh-CN"/>
        </w:rPr>
        <w:t>“</w:t>
      </w:r>
      <w:r>
        <w:rPr>
          <w:rFonts w:hint="eastAsia"/>
          <w:color w:val="auto"/>
          <w:highlight w:val="none"/>
        </w:rPr>
        <w:t>光储充换</w:t>
      </w:r>
      <w:r>
        <w:rPr>
          <w:rFonts w:hint="eastAsia"/>
          <w:color w:val="auto"/>
          <w:highlight w:val="none"/>
          <w:lang w:eastAsia="zh-CN"/>
        </w:rPr>
        <w:t>”</w:t>
      </w:r>
      <w:r>
        <w:rPr>
          <w:rFonts w:hint="eastAsia"/>
          <w:color w:val="auto"/>
          <w:highlight w:val="none"/>
        </w:rPr>
        <w:t>一体化智慧能源站。在车流密集服务区适度超前增设加氢、加气及</w:t>
      </w:r>
      <w:r>
        <w:rPr>
          <w:rFonts w:hint="eastAsia"/>
          <w:color w:val="auto"/>
          <w:highlight w:val="none"/>
          <w:lang w:val="en-US" w:eastAsia="zh-CN"/>
        </w:rPr>
        <w:t>商用车超充设施，打造“油气电氢”多品类综合补给站。推动“三化长江”（电化、气化、氢化）行动，大力推广电动、液化天然气、氢燃料电池、甲醇燃料船舶，推动梁子湖港等港口岸电设施全覆盖。</w:t>
      </w:r>
    </w:p>
    <w:p>
      <w:pPr>
        <w:pStyle w:val="22"/>
        <w:numPr>
          <w:ilvl w:val="0"/>
          <w:numId w:val="7"/>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10" w:name="_Toc21777"/>
      <w:bookmarkStart w:id="111" w:name="_Toc6706"/>
      <w:bookmarkStart w:id="112" w:name="_Toc21665"/>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全面推进全社会节能降碳</w:t>
      </w:r>
      <w:bookmarkEnd w:id="110"/>
      <w:bookmarkEnd w:id="111"/>
      <w:bookmarkEnd w:id="112"/>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b/>
          <w:bCs/>
          <w:color w:val="auto"/>
          <w:highlight w:val="none"/>
          <w:lang w:val="en-US" w:eastAsia="zh-CN"/>
        </w:rPr>
      </w:pPr>
      <w:r>
        <w:rPr>
          <w:rFonts w:hint="eastAsia"/>
          <w:b/>
          <w:bCs/>
          <w:color w:val="auto"/>
          <w:highlight w:val="none"/>
        </w:rPr>
        <w:t>创新</w:t>
      </w:r>
      <w:r>
        <w:rPr>
          <w:b/>
          <w:bCs/>
          <w:color w:val="auto"/>
          <w:highlight w:val="none"/>
        </w:rPr>
        <w:t>能源消费</w:t>
      </w:r>
      <w:r>
        <w:rPr>
          <w:rFonts w:hint="eastAsia"/>
          <w:b/>
          <w:bCs/>
          <w:color w:val="auto"/>
          <w:highlight w:val="none"/>
        </w:rPr>
        <w:t>模式</w:t>
      </w:r>
      <w:r>
        <w:rPr>
          <w:b/>
          <w:bCs/>
          <w:color w:val="auto"/>
          <w:highlight w:val="none"/>
        </w:rPr>
        <w:t>。</w:t>
      </w:r>
      <w:r>
        <w:rPr>
          <w:color w:val="auto"/>
          <w:highlight w:val="none"/>
        </w:rPr>
        <w:t>积极培育和发展能源消费新模式，推广区域综合能源服务。</w:t>
      </w:r>
      <w:r>
        <w:rPr>
          <w:rFonts w:hAnsi="仿宋_GB2312" w:cs="仿宋_GB2312"/>
          <w:color w:val="auto"/>
          <w:highlight w:val="none"/>
        </w:rPr>
        <w:t>支持企业在能源管理领域推广应用</w:t>
      </w:r>
      <w:r>
        <w:rPr>
          <w:rFonts w:hint="eastAsia" w:hAnsi="仿宋_GB2312" w:cs="仿宋_GB2312"/>
          <w:color w:val="auto"/>
          <w:highlight w:val="none"/>
        </w:rPr>
        <w:t>人工智能大模型进行</w:t>
      </w:r>
      <w:r>
        <w:rPr>
          <w:rFonts w:hAnsi="仿宋_GB2312" w:cs="仿宋_GB2312"/>
          <w:color w:val="auto"/>
          <w:highlight w:val="none"/>
        </w:rPr>
        <w:t>优化控制。</w:t>
      </w:r>
      <w:r>
        <w:rPr>
          <w:color w:val="auto"/>
          <w:highlight w:val="none"/>
        </w:rPr>
        <w:t>鼓励专业能源服务公司为园区、大型</w:t>
      </w:r>
      <w:r>
        <w:rPr>
          <w:rFonts w:hint="eastAsia"/>
          <w:color w:val="auto"/>
          <w:highlight w:val="none"/>
        </w:rPr>
        <w:t>商业</w:t>
      </w:r>
      <w:r>
        <w:rPr>
          <w:color w:val="auto"/>
          <w:highlight w:val="none"/>
        </w:rPr>
        <w:t>建筑、工业企业等提供涵盖</w:t>
      </w:r>
      <w:r>
        <w:rPr>
          <w:rFonts w:hint="eastAsia"/>
          <w:color w:val="auto"/>
          <w:highlight w:val="none"/>
        </w:rPr>
        <w:t>能源系统规划、</w:t>
      </w:r>
      <w:r>
        <w:rPr>
          <w:color w:val="auto"/>
          <w:highlight w:val="none"/>
        </w:rPr>
        <w:t>能源审计、节能改造、分布式能源建设、智慧运维等在内的</w:t>
      </w:r>
      <w:r>
        <w:rPr>
          <w:rFonts w:hint="eastAsia"/>
          <w:color w:val="auto"/>
          <w:highlight w:val="none"/>
          <w:lang w:eastAsia="zh-CN"/>
        </w:rPr>
        <w:t>“</w:t>
      </w:r>
      <w:r>
        <w:rPr>
          <w:color w:val="auto"/>
          <w:highlight w:val="none"/>
        </w:rPr>
        <w:t>一站式</w:t>
      </w:r>
      <w:r>
        <w:rPr>
          <w:rFonts w:hint="eastAsia"/>
          <w:color w:val="auto"/>
          <w:highlight w:val="none"/>
          <w:lang w:eastAsia="zh-CN"/>
        </w:rPr>
        <w:t>”</w:t>
      </w:r>
      <w:r>
        <w:rPr>
          <w:color w:val="auto"/>
          <w:highlight w:val="none"/>
        </w:rPr>
        <w:t>综合能源服务</w:t>
      </w:r>
      <w:r>
        <w:rPr>
          <w:rFonts w:hint="eastAsia"/>
          <w:color w:val="auto"/>
          <w:highlight w:val="none"/>
        </w:rPr>
        <w:t>，</w:t>
      </w:r>
      <w:bookmarkStart w:id="113" w:name="OLE_LINK7"/>
      <w:r>
        <w:rPr>
          <w:color w:val="auto"/>
          <w:highlight w:val="none"/>
        </w:rPr>
        <w:t>实现能源梯级利用和整体效率提升</w:t>
      </w:r>
      <w:bookmarkEnd w:id="113"/>
      <w:r>
        <w:rPr>
          <w:rFonts w:hint="eastAsia"/>
          <w:color w:val="auto"/>
          <w:highlight w:val="none"/>
        </w:rPr>
        <w:t>，保障能源</w:t>
      </w:r>
      <w:r>
        <w:rPr>
          <w:color w:val="auto"/>
          <w:highlight w:val="none"/>
        </w:rPr>
        <w:t>系统高效运行。发挥绿色工厂在制造业绿色低碳转型中的基础性和导向性作用</w:t>
      </w:r>
      <w:r>
        <w:rPr>
          <w:rFonts w:hint="eastAsia"/>
          <w:color w:val="auto"/>
          <w:highlight w:val="none"/>
        </w:rPr>
        <w:t>，引导绿色工厂深挖降碳潜力，培育建设一批零碳工厂、零碳园区。构建多元算力电力基础设施，打造</w:t>
      </w:r>
      <w:r>
        <w:rPr>
          <w:rFonts w:hint="eastAsia"/>
          <w:color w:val="auto"/>
          <w:highlight w:val="none"/>
          <w:lang w:eastAsia="zh-CN"/>
        </w:rPr>
        <w:t>“</w:t>
      </w:r>
      <w:r>
        <w:rPr>
          <w:rFonts w:hint="eastAsia"/>
          <w:color w:val="auto"/>
          <w:highlight w:val="none"/>
        </w:rPr>
        <w:t>电算协同</w:t>
      </w:r>
      <w:r>
        <w:rPr>
          <w:rFonts w:hint="eastAsia"/>
          <w:color w:val="auto"/>
          <w:highlight w:val="none"/>
          <w:lang w:eastAsia="zh-CN"/>
        </w:rPr>
        <w:t>”</w:t>
      </w:r>
      <w:r>
        <w:rPr>
          <w:rFonts w:hint="eastAsia"/>
          <w:color w:val="auto"/>
          <w:highlight w:val="none"/>
        </w:rPr>
        <w:t>试点示范项目。</w:t>
      </w:r>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bCs w:val="0"/>
          <w:color w:val="auto"/>
          <w:szCs w:val="32"/>
          <w:highlight w:val="none"/>
        </w:rPr>
      </w:pPr>
      <w:r>
        <w:rPr>
          <w:rFonts w:hint="eastAsia" w:ascii="Times New Roman" w:hAnsi="Times New Roman" w:cs="仿宋_GB2312"/>
          <w:b/>
          <w:bCs/>
          <w:color w:val="auto"/>
          <w:sz w:val="32"/>
          <w:szCs w:val="32"/>
          <w:highlight w:val="none"/>
          <w:lang w:val="en-US" w:eastAsia="zh-CN"/>
        </w:rPr>
        <w:t>强化全民低碳消费意识。</w:t>
      </w:r>
      <w:r>
        <w:rPr>
          <w:rFonts w:hint="eastAsia" w:cs="仿宋_GB2312"/>
          <w:b w:val="0"/>
          <w:bCs w:val="0"/>
          <w:color w:val="auto"/>
          <w:sz w:val="32"/>
          <w:szCs w:val="32"/>
          <w:highlight w:val="none"/>
          <w:lang w:val="en-US" w:eastAsia="zh-CN"/>
        </w:rPr>
        <w:t>加大</w:t>
      </w:r>
      <w:r>
        <w:rPr>
          <w:rFonts w:hint="eastAsia" w:ascii="Times New Roman" w:hAnsi="Times New Roman" w:cs="仿宋_GB2312"/>
          <w:b w:val="0"/>
          <w:bCs w:val="0"/>
          <w:color w:val="auto"/>
          <w:sz w:val="32"/>
          <w:szCs w:val="32"/>
          <w:highlight w:val="none"/>
          <w:lang w:val="en-US" w:eastAsia="zh-CN"/>
        </w:rPr>
        <w:t>低碳消费宣传力度，利用全国节能宣传周、全国低碳日等平台，通过新媒体、公益广告、社区活动等多种形式，广泛宣传节能降碳知识。积极倡导绿色出行、节约用能等简约适度、绿色低碳的生活方式，推广普及高效节能产品和先进技术，鼓励市民优先选购节能电器和新能源汽车，营造全社会参与绿色低碳消费的良好氛围。</w:t>
      </w:r>
    </w:p>
    <w:p>
      <w:pPr>
        <w:pStyle w:val="22"/>
        <w:keepNext w:val="0"/>
        <w:keepLines w:val="0"/>
        <w:pageBreakBefore w:val="0"/>
        <w:widowControl/>
        <w:numPr>
          <w:ilvl w:val="0"/>
          <w:numId w:val="7"/>
        </w:numPr>
        <w:kinsoku/>
        <w:wordWrap/>
        <w:overflowPunct/>
        <w:topLinePunct w:val="0"/>
        <w:autoSpaceDE/>
        <w:autoSpaceDN/>
        <w:bidi w:val="0"/>
        <w:adjustRightInd/>
        <w:snapToGrid/>
        <w:spacing w:line="560" w:lineRule="exact"/>
        <w:ind w:left="0" w:firstLine="640" w:firstLineChars="200"/>
        <w:textAlignment w:val="auto"/>
        <w:outlineLvl w:val="1"/>
        <w:rPr>
          <w:rFonts w:hint="eastAsia" w:ascii="楷体_GB2312" w:hAnsi="楷体_GB2312" w:eastAsia="楷体_GB2312" w:cs="楷体_GB2312"/>
          <w:b w:val="0"/>
          <w:bCs/>
          <w:color w:val="auto"/>
          <w:sz w:val="32"/>
          <w:szCs w:val="23"/>
          <w:highlight w:val="none"/>
          <w:lang w:val="en-US" w:eastAsia="zh-CN"/>
        </w:rPr>
      </w:pPr>
      <w:bookmarkStart w:id="114" w:name="_Toc26830"/>
      <w:r>
        <w:rPr>
          <w:rFonts w:hint="eastAsia" w:ascii="楷体_GB2312" w:hAnsi="楷体_GB2312" w:eastAsia="楷体_GB2312" w:cs="楷体_GB2312"/>
          <w:b w:val="0"/>
          <w:bCs/>
          <w:color w:val="auto"/>
          <w:highlight w:val="none"/>
          <w:lang w:val="en-US" w:eastAsia="zh-CN"/>
        </w:rPr>
        <w:t>完善充电网络布局</w:t>
      </w:r>
      <w:bookmarkEnd w:id="114"/>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w:hAnsi="Times New Roman" w:eastAsia="仿宋_GB2312" w:cs="Arial"/>
          <w:bCs w:val="0"/>
          <w:i w:val="0"/>
          <w:iCs w:val="0"/>
          <w:caps w:val="0"/>
          <w:color w:val="auto"/>
          <w:spacing w:val="0"/>
          <w:sz w:val="32"/>
          <w:szCs w:val="23"/>
          <w:highlight w:val="none"/>
          <w:shd w:val="clear" w:fill="FFFFFF"/>
          <w:lang w:val="en-US" w:eastAsia="zh-CN"/>
        </w:rPr>
      </w:pPr>
      <w:r>
        <w:rPr>
          <w:rFonts w:hint="eastAsia" w:ascii="Times New Roman" w:hAnsi="Times New Roman" w:eastAsia="仿宋_GB2312" w:cs="Arial"/>
          <w:b/>
          <w:bCs/>
          <w:i w:val="0"/>
          <w:iCs w:val="0"/>
          <w:caps w:val="0"/>
          <w:color w:val="auto"/>
          <w:spacing w:val="0"/>
          <w:sz w:val="32"/>
          <w:szCs w:val="23"/>
          <w:highlight w:val="none"/>
          <w:shd w:val="clear" w:fill="FFFFFF"/>
          <w:lang w:val="en-US" w:eastAsia="zh-CN"/>
        </w:rPr>
        <w:t>构建多层充电网络。</w:t>
      </w:r>
      <w:r>
        <w:rPr>
          <w:rFonts w:hint="eastAsia" w:ascii="Times New Roman" w:hAnsi="Times New Roman" w:eastAsia="仿宋_GB2312" w:cs="Arial"/>
          <w:bCs w:val="0"/>
          <w:i w:val="0"/>
          <w:iCs w:val="0"/>
          <w:caps w:val="0"/>
          <w:color w:val="auto"/>
          <w:spacing w:val="0"/>
          <w:sz w:val="32"/>
          <w:szCs w:val="23"/>
          <w:highlight w:val="none"/>
          <w:shd w:val="clear" w:fill="FFFFFF"/>
        </w:rPr>
        <w:t>立足城市面状、公路线状、乡村点状的总体架构，加快形成中心城区密集覆盖、公路沿线连续贯通、乡镇节点有效延伸的充电网络。</w:t>
      </w:r>
      <w:r>
        <w:rPr>
          <w:rFonts w:hint="eastAsia" w:cs="Arial"/>
          <w:bCs w:val="0"/>
          <w:i w:val="0"/>
          <w:iCs w:val="0"/>
          <w:caps w:val="0"/>
          <w:color w:val="auto"/>
          <w:spacing w:val="0"/>
          <w:sz w:val="32"/>
          <w:szCs w:val="23"/>
          <w:highlight w:val="none"/>
          <w:shd w:val="clear" w:fill="FFFFFF"/>
          <w:lang w:val="en-US" w:eastAsia="zh-CN"/>
        </w:rPr>
        <w:t>支持</w:t>
      </w:r>
      <w:r>
        <w:rPr>
          <w:rFonts w:hint="eastAsia" w:ascii="Times New Roman" w:hAnsi="Times New Roman" w:eastAsia="仿宋_GB2312" w:cs="Arial"/>
          <w:bCs w:val="0"/>
          <w:i w:val="0"/>
          <w:iCs w:val="0"/>
          <w:caps w:val="0"/>
          <w:color w:val="auto"/>
          <w:spacing w:val="0"/>
          <w:sz w:val="32"/>
          <w:szCs w:val="23"/>
          <w:highlight w:val="none"/>
          <w:shd w:val="clear" w:fill="FFFFFF"/>
        </w:rPr>
        <w:t>鄂州市中心城区市政新能源充电基础设施补短板</w:t>
      </w:r>
      <w:r>
        <w:rPr>
          <w:rFonts w:hint="eastAsia" w:cs="Arial"/>
          <w:bCs w:val="0"/>
          <w:i w:val="0"/>
          <w:iCs w:val="0"/>
          <w:caps w:val="0"/>
          <w:color w:val="auto"/>
          <w:spacing w:val="0"/>
          <w:sz w:val="32"/>
          <w:szCs w:val="23"/>
          <w:highlight w:val="none"/>
          <w:shd w:val="clear" w:fill="FFFFFF"/>
          <w:lang w:eastAsia="zh-CN"/>
        </w:rPr>
        <w:t>、</w:t>
      </w:r>
      <w:r>
        <w:rPr>
          <w:rFonts w:hint="eastAsia" w:ascii="Times New Roman" w:hAnsi="Times New Roman" w:eastAsia="仿宋_GB2312" w:cs="Arial"/>
          <w:bCs w:val="0"/>
          <w:i w:val="0"/>
          <w:iCs w:val="0"/>
          <w:caps w:val="0"/>
          <w:color w:val="auto"/>
          <w:spacing w:val="0"/>
          <w:sz w:val="32"/>
          <w:szCs w:val="23"/>
          <w:highlight w:val="none"/>
          <w:shd w:val="clear" w:fill="FFFFFF"/>
        </w:rPr>
        <w:t>鄂州市新能源汽车充电基础设施建设</w:t>
      </w:r>
      <w:r>
        <w:rPr>
          <w:rFonts w:hint="eastAsia" w:cs="Arial"/>
          <w:bCs w:val="0"/>
          <w:i w:val="0"/>
          <w:iCs w:val="0"/>
          <w:caps w:val="0"/>
          <w:color w:val="auto"/>
          <w:spacing w:val="0"/>
          <w:sz w:val="32"/>
          <w:szCs w:val="23"/>
          <w:highlight w:val="none"/>
          <w:shd w:val="clear" w:fill="FFFFFF"/>
          <w:lang w:val="en-US" w:eastAsia="zh-CN"/>
        </w:rPr>
        <w:t>等</w:t>
      </w:r>
      <w:r>
        <w:rPr>
          <w:rFonts w:hint="eastAsia" w:ascii="Times New Roman" w:hAnsi="Times New Roman" w:eastAsia="仿宋_GB2312" w:cs="Arial"/>
          <w:bCs w:val="0"/>
          <w:i w:val="0"/>
          <w:iCs w:val="0"/>
          <w:caps w:val="0"/>
          <w:color w:val="auto"/>
          <w:spacing w:val="0"/>
          <w:sz w:val="32"/>
          <w:szCs w:val="23"/>
          <w:highlight w:val="none"/>
          <w:shd w:val="clear" w:fill="FFFFFF"/>
        </w:rPr>
        <w:t>项目，盘活存量停车场资源，提升城乡快充能力，</w:t>
      </w:r>
      <w:r>
        <w:rPr>
          <w:rFonts w:hint="eastAsia" w:cs="Arial"/>
          <w:bCs w:val="0"/>
          <w:i w:val="0"/>
          <w:iCs w:val="0"/>
          <w:caps w:val="0"/>
          <w:color w:val="auto"/>
          <w:spacing w:val="0"/>
          <w:sz w:val="32"/>
          <w:szCs w:val="23"/>
          <w:highlight w:val="none"/>
          <w:shd w:val="clear" w:fill="FFFFFF"/>
          <w:lang w:val="en-US" w:eastAsia="zh-CN"/>
        </w:rPr>
        <w:t>加速建设</w:t>
      </w:r>
      <w:r>
        <w:rPr>
          <w:rFonts w:hint="eastAsia" w:ascii="Times New Roman" w:hAnsi="Times New Roman" w:eastAsia="仿宋_GB2312" w:cs="Arial"/>
          <w:bCs w:val="0"/>
          <w:i w:val="0"/>
          <w:iCs w:val="0"/>
          <w:caps w:val="0"/>
          <w:color w:val="auto"/>
          <w:spacing w:val="0"/>
          <w:sz w:val="32"/>
          <w:szCs w:val="23"/>
          <w:highlight w:val="none"/>
          <w:shd w:val="clear" w:fill="FFFFFF"/>
        </w:rPr>
        <w:t>市级一体化智慧充电管控平台，实现设施精准调度。在主要货运通道沿线规划建设重卡补能设施，</w:t>
      </w:r>
      <w:r>
        <w:rPr>
          <w:rFonts w:hint="eastAsia" w:cs="Arial"/>
          <w:bCs w:val="0"/>
          <w:i w:val="0"/>
          <w:iCs w:val="0"/>
          <w:caps w:val="0"/>
          <w:color w:val="auto"/>
          <w:spacing w:val="0"/>
          <w:sz w:val="32"/>
          <w:szCs w:val="23"/>
          <w:highlight w:val="none"/>
          <w:shd w:val="clear" w:fill="FFFFFF"/>
          <w:lang w:val="en-US" w:eastAsia="zh-CN"/>
        </w:rPr>
        <w:t>支持</w:t>
      </w:r>
      <w:r>
        <w:rPr>
          <w:rFonts w:hint="eastAsia" w:ascii="Times New Roman" w:hAnsi="Times New Roman" w:eastAsia="仿宋_GB2312" w:cs="Arial"/>
          <w:bCs w:val="0"/>
          <w:i w:val="0"/>
          <w:iCs w:val="0"/>
          <w:caps w:val="0"/>
          <w:color w:val="auto"/>
          <w:spacing w:val="0"/>
          <w:sz w:val="32"/>
          <w:szCs w:val="23"/>
          <w:highlight w:val="none"/>
          <w:shd w:val="clear" w:fill="FFFFFF"/>
        </w:rPr>
        <w:t>充换电一体化项目，布局储能充电站与换电站网络，因地制宜拓展换电场景，形成充换互补、快慢结合的多层次补给体系。</w:t>
      </w:r>
      <w:r>
        <w:rPr>
          <w:rFonts w:hint="default" w:ascii="Times New Roman Regular" w:hAnsi="Times New Roman Regular" w:cs="Times New Roman Regular"/>
          <w:b w:val="0"/>
          <w:bCs w:val="0"/>
          <w:color w:val="auto"/>
          <w:kern w:val="0"/>
          <w:szCs w:val="32"/>
          <w:highlight w:val="none"/>
          <w:lang w:bidi="ar"/>
        </w:rPr>
        <w:t>建设综合能源服务站，</w:t>
      </w:r>
      <w:r>
        <w:rPr>
          <w:rFonts w:hint="default" w:ascii="Times New Roman Regular" w:hAnsi="Times New Roman Regular" w:cs="Times New Roman Regular"/>
          <w:color w:val="auto"/>
          <w:kern w:val="0"/>
          <w:szCs w:val="32"/>
          <w:highlight w:val="none"/>
          <w:lang w:bidi="ar"/>
        </w:rPr>
        <w:t>引导社会资本建设综合能源服务站，开展油、气、氢、电等综合供能服务试点示范</w:t>
      </w:r>
      <w:r>
        <w:rPr>
          <w:rFonts w:hint="default" w:ascii="Times New Roman Regular" w:hAnsi="Times New Roman Regular" w:cs="Times New Roman Regular"/>
          <w:color w:val="auto"/>
          <w:kern w:val="0"/>
          <w:szCs w:val="32"/>
          <w:highlight w:val="none"/>
          <w:lang w:eastAsia="zh-CN" w:bidi="ar"/>
        </w:rPr>
        <w:t>。</w:t>
      </w:r>
      <w:r>
        <w:rPr>
          <w:rFonts w:hint="default" w:ascii="Times New Roman Regular" w:hAnsi="Times New Roman Regular" w:cs="Times New Roman Regular"/>
          <w:bCs w:val="0"/>
          <w:color w:val="auto"/>
          <w:szCs w:val="32"/>
          <w:highlight w:val="none"/>
        </w:rPr>
        <w:t>到2030年，基本建成全域覆盖、功能完善、通用开放、智能高效、业态丰富的高质量充电基础设施体系，</w:t>
      </w:r>
      <w:r>
        <w:rPr>
          <w:rFonts w:hint="default" w:ascii="Times New Roman Regular" w:hAnsi="Times New Roman Regular" w:cs="Times New Roman Regular"/>
          <w:bCs w:val="0"/>
          <w:color w:val="auto"/>
          <w:szCs w:val="32"/>
          <w:highlight w:val="none"/>
          <w:lang w:val="en-US" w:eastAsia="zh-CN"/>
        </w:rPr>
        <w:t>全市</w:t>
      </w:r>
      <w:r>
        <w:rPr>
          <w:rFonts w:hint="default" w:ascii="Times New Roman Regular" w:hAnsi="Times New Roman Regular" w:cs="Times New Roman Regular"/>
          <w:bCs w:val="0"/>
          <w:color w:val="auto"/>
          <w:szCs w:val="32"/>
          <w:highlight w:val="none"/>
        </w:rPr>
        <w:t>公共充电基础设施突破</w:t>
      </w:r>
      <w:r>
        <w:rPr>
          <w:rFonts w:hint="default" w:ascii="Times New Roman Regular" w:hAnsi="Times New Roman Regular" w:cs="Times New Roman Regular"/>
          <w:bCs w:val="0"/>
          <w:color w:val="auto"/>
          <w:szCs w:val="32"/>
          <w:highlight w:val="none"/>
          <w:lang w:val="en-US" w:eastAsia="zh-CN"/>
        </w:rPr>
        <w:t>0.</w:t>
      </w:r>
      <w:r>
        <w:rPr>
          <w:rFonts w:hint="eastAsia" w:ascii="Times New Roman Regular" w:hAnsi="Times New Roman Regular" w:cs="Times New Roman Regular"/>
          <w:bCs w:val="0"/>
          <w:color w:val="auto"/>
          <w:szCs w:val="32"/>
          <w:highlight w:val="none"/>
          <w:lang w:val="en-US" w:eastAsia="zh-CN"/>
        </w:rPr>
        <w:t>8</w:t>
      </w:r>
      <w:r>
        <w:rPr>
          <w:rFonts w:hint="default" w:ascii="Times New Roman Regular" w:hAnsi="Times New Roman Regular" w:cs="Times New Roman Regular"/>
          <w:bCs w:val="0"/>
          <w:color w:val="auto"/>
          <w:szCs w:val="32"/>
          <w:highlight w:val="none"/>
          <w:lang w:val="en-US" w:eastAsia="zh-CN"/>
        </w:rPr>
        <w:t>万</w:t>
      </w:r>
      <w:r>
        <w:rPr>
          <w:rFonts w:hint="default" w:ascii="Times New Roman Regular" w:hAnsi="Times New Roman Regular" w:cs="Times New Roman Regular"/>
          <w:bCs w:val="0"/>
          <w:color w:val="auto"/>
          <w:szCs w:val="32"/>
          <w:highlight w:val="none"/>
        </w:rPr>
        <w:t>个。</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w:hAnsi="Times New Roman" w:eastAsia="仿宋_GB2312" w:cs="Arial"/>
          <w:bCs w:val="0"/>
          <w:i w:val="0"/>
          <w:iCs w:val="0"/>
          <w:caps w:val="0"/>
          <w:color w:val="auto"/>
          <w:spacing w:val="0"/>
          <w:sz w:val="32"/>
          <w:szCs w:val="23"/>
          <w:highlight w:val="none"/>
          <w:shd w:val="clear" w:fill="FFFFFF"/>
          <w:lang w:val="en-US" w:eastAsia="zh-CN"/>
        </w:rPr>
      </w:pPr>
      <w:r>
        <w:rPr>
          <w:rFonts w:hint="eastAsia" w:ascii="Times New Roman" w:hAnsi="Times New Roman" w:eastAsia="仿宋_GB2312" w:cs="Arial"/>
          <w:b/>
          <w:bCs/>
          <w:i w:val="0"/>
          <w:iCs w:val="0"/>
          <w:caps w:val="0"/>
          <w:color w:val="auto"/>
          <w:spacing w:val="0"/>
          <w:sz w:val="32"/>
          <w:szCs w:val="23"/>
          <w:highlight w:val="none"/>
          <w:shd w:val="clear" w:fill="FFFFFF"/>
          <w:lang w:val="en-US" w:eastAsia="zh-CN"/>
        </w:rPr>
        <w:t>推广车网融合互动。</w:t>
      </w:r>
      <w:r>
        <w:rPr>
          <w:rFonts w:hint="eastAsia" w:ascii="Times New Roman" w:hAnsi="Times New Roman" w:eastAsia="仿宋_GB2312" w:cs="Arial"/>
          <w:bCs w:val="0"/>
          <w:i w:val="0"/>
          <w:iCs w:val="0"/>
          <w:caps w:val="0"/>
          <w:color w:val="auto"/>
          <w:spacing w:val="0"/>
          <w:sz w:val="32"/>
          <w:szCs w:val="23"/>
          <w:highlight w:val="none"/>
          <w:shd w:val="clear" w:fill="FFFFFF"/>
        </w:rPr>
        <w:t>充分利用电动汽车储能资源，依托智慧充电管控平台和智能服务系统，规模化应用车网互动技术，引导充电负荷与电网柔性匹配，实现削峰填谷与电力系统协同。积极推进配电网扩容改造，支持光储充一体化站建设，将光伏发电、储能电池与充电设施集成布局，提升就地消纳绿电能力。</w:t>
      </w:r>
      <w:r>
        <w:rPr>
          <w:rFonts w:hint="eastAsia" w:cs="Arial"/>
          <w:bCs w:val="0"/>
          <w:i w:val="0"/>
          <w:iCs w:val="0"/>
          <w:caps w:val="0"/>
          <w:color w:val="auto"/>
          <w:spacing w:val="0"/>
          <w:sz w:val="32"/>
          <w:szCs w:val="23"/>
          <w:highlight w:val="none"/>
          <w:shd w:val="clear" w:fill="FFFFFF"/>
          <w:lang w:val="en-US" w:eastAsia="zh-CN"/>
        </w:rPr>
        <w:t>支持</w:t>
      </w:r>
      <w:r>
        <w:rPr>
          <w:rFonts w:hint="eastAsia" w:ascii="Times New Roman" w:hAnsi="Times New Roman" w:eastAsia="仿宋_GB2312" w:cs="Arial"/>
          <w:bCs w:val="0"/>
          <w:i w:val="0"/>
          <w:iCs w:val="0"/>
          <w:caps w:val="0"/>
          <w:color w:val="auto"/>
          <w:spacing w:val="0"/>
          <w:sz w:val="32"/>
          <w:szCs w:val="23"/>
          <w:highlight w:val="none"/>
          <w:shd w:val="clear" w:fill="FFFFFF"/>
        </w:rPr>
        <w:t>充换电一体化项目配套建设储能充电站与电池管理服务中心，强化动力电池梯次利用与储能协同，为</w:t>
      </w:r>
      <w:r>
        <w:rPr>
          <w:rFonts w:hint="eastAsia" w:cs="Arial"/>
          <w:bCs w:val="0"/>
          <w:i w:val="0"/>
          <w:iCs w:val="0"/>
          <w:caps w:val="0"/>
          <w:color w:val="auto"/>
          <w:spacing w:val="0"/>
          <w:sz w:val="32"/>
          <w:szCs w:val="23"/>
          <w:highlight w:val="none"/>
          <w:shd w:val="clear" w:fill="FFFFFF"/>
          <w:lang w:eastAsia="zh-CN"/>
        </w:rPr>
        <w:t>“</w:t>
      </w:r>
      <w:r>
        <w:rPr>
          <w:rFonts w:hint="eastAsia" w:ascii="Times New Roman" w:hAnsi="Times New Roman" w:eastAsia="仿宋_GB2312" w:cs="Arial"/>
          <w:bCs w:val="0"/>
          <w:i w:val="0"/>
          <w:iCs w:val="0"/>
          <w:caps w:val="0"/>
          <w:color w:val="auto"/>
          <w:spacing w:val="0"/>
          <w:sz w:val="32"/>
          <w:szCs w:val="23"/>
          <w:highlight w:val="none"/>
          <w:shd w:val="clear" w:fill="FFFFFF"/>
        </w:rPr>
        <w:t>绿电直连</w:t>
      </w:r>
      <w:r>
        <w:rPr>
          <w:rFonts w:hint="eastAsia" w:cs="Arial"/>
          <w:bCs w:val="0"/>
          <w:i w:val="0"/>
          <w:iCs w:val="0"/>
          <w:caps w:val="0"/>
          <w:color w:val="auto"/>
          <w:spacing w:val="0"/>
          <w:sz w:val="32"/>
          <w:szCs w:val="23"/>
          <w:highlight w:val="none"/>
          <w:shd w:val="clear" w:fill="FFFFFF"/>
          <w:lang w:eastAsia="zh-CN"/>
        </w:rPr>
        <w:t>”</w:t>
      </w:r>
      <w:r>
        <w:rPr>
          <w:rFonts w:hint="eastAsia" w:ascii="Times New Roman" w:hAnsi="Times New Roman" w:eastAsia="仿宋_GB2312" w:cs="Arial"/>
          <w:bCs w:val="0"/>
          <w:i w:val="0"/>
          <w:iCs w:val="0"/>
          <w:caps w:val="0"/>
          <w:color w:val="auto"/>
          <w:spacing w:val="0"/>
          <w:sz w:val="32"/>
          <w:szCs w:val="23"/>
          <w:highlight w:val="none"/>
          <w:shd w:val="clear" w:fill="FFFFFF"/>
        </w:rPr>
        <w:t>模式提供落地载体。新增充换电用电量坚持主要由清洁能源覆盖，逐步实现新能源汽车全生命周期用能绿色化，使充电网络成为新型电力系统的重要柔性资源。</w:t>
      </w:r>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w:hAnsi="Times New Roman" w:eastAsia="仿宋_GB2312" w:cs="Arial"/>
          <w:bCs w:val="0"/>
          <w:i w:val="0"/>
          <w:iCs w:val="0"/>
          <w:caps w:val="0"/>
          <w:color w:val="auto"/>
          <w:spacing w:val="0"/>
          <w:sz w:val="32"/>
          <w:szCs w:val="23"/>
          <w:highlight w:val="none"/>
          <w:shd w:val="clear" w:fill="FFFFFF"/>
        </w:rPr>
      </w:pPr>
      <w:r>
        <w:rPr>
          <w:rFonts w:hint="eastAsia" w:ascii="Times New Roman" w:hAnsi="Times New Roman" w:eastAsia="仿宋_GB2312" w:cs="Arial"/>
          <w:b/>
          <w:bCs/>
          <w:i w:val="0"/>
          <w:iCs w:val="0"/>
          <w:caps w:val="0"/>
          <w:color w:val="auto"/>
          <w:spacing w:val="0"/>
          <w:sz w:val="32"/>
          <w:szCs w:val="23"/>
          <w:highlight w:val="none"/>
          <w:shd w:val="clear" w:fill="FFFFFF"/>
          <w:lang w:val="en-US" w:eastAsia="zh-CN"/>
        </w:rPr>
        <w:t>创新投融资模式。</w:t>
      </w:r>
      <w:r>
        <w:rPr>
          <w:rFonts w:hint="eastAsia" w:ascii="Times New Roman" w:hAnsi="Times New Roman" w:eastAsia="仿宋_GB2312" w:cs="Arial"/>
          <w:bCs w:val="0"/>
          <w:i w:val="0"/>
          <w:iCs w:val="0"/>
          <w:caps w:val="0"/>
          <w:color w:val="auto"/>
          <w:spacing w:val="0"/>
          <w:sz w:val="32"/>
          <w:szCs w:val="23"/>
          <w:highlight w:val="none"/>
          <w:shd w:val="clear" w:fill="FFFFFF"/>
        </w:rPr>
        <w:t>坚持市场主导、多元参与，鼓励社会资本、民营企业深度参与充电桩运营项目。中心城区补短板项目通过收购停车场充电设施经营权，探索存量资产特许经营与改造升级路径，为市政充电网络注入市场化运营机制。</w:t>
      </w:r>
      <w:r>
        <w:rPr>
          <w:rFonts w:hint="eastAsia" w:cs="Arial"/>
          <w:bCs w:val="0"/>
          <w:i w:val="0"/>
          <w:iCs w:val="0"/>
          <w:caps w:val="0"/>
          <w:color w:val="auto"/>
          <w:spacing w:val="0"/>
          <w:sz w:val="32"/>
          <w:szCs w:val="23"/>
          <w:highlight w:val="none"/>
          <w:shd w:val="clear" w:fill="FFFFFF"/>
          <w:lang w:val="en-US" w:eastAsia="zh-CN"/>
        </w:rPr>
        <w:t>鼓励</w:t>
      </w:r>
      <w:r>
        <w:rPr>
          <w:rFonts w:hint="eastAsia" w:ascii="Times New Roman" w:hAnsi="Times New Roman" w:eastAsia="仿宋_GB2312" w:cs="Arial"/>
          <w:bCs w:val="0"/>
          <w:i w:val="0"/>
          <w:iCs w:val="0"/>
          <w:caps w:val="0"/>
          <w:color w:val="auto"/>
          <w:spacing w:val="0"/>
          <w:sz w:val="32"/>
          <w:szCs w:val="23"/>
          <w:highlight w:val="none"/>
          <w:shd w:val="clear" w:fill="FFFFFF"/>
        </w:rPr>
        <w:t>龙头民营企业在换电、储能一体化领域的投资运营主体作用。持续</w:t>
      </w:r>
      <w:r>
        <w:rPr>
          <w:rFonts w:hint="eastAsia" w:cs="Arial"/>
          <w:bCs w:val="0"/>
          <w:i w:val="0"/>
          <w:iCs w:val="0"/>
          <w:caps w:val="0"/>
          <w:color w:val="auto"/>
          <w:spacing w:val="0"/>
          <w:sz w:val="32"/>
          <w:szCs w:val="23"/>
          <w:highlight w:val="none"/>
          <w:shd w:val="clear" w:fill="FFFFFF"/>
          <w:lang w:val="en-US" w:eastAsia="zh-CN"/>
        </w:rPr>
        <w:t>统筹</w:t>
      </w:r>
      <w:r>
        <w:rPr>
          <w:rFonts w:hint="eastAsia" w:ascii="Times New Roman" w:hAnsi="Times New Roman" w:eastAsia="仿宋_GB2312" w:cs="Arial"/>
          <w:bCs w:val="0"/>
          <w:i w:val="0"/>
          <w:iCs w:val="0"/>
          <w:caps w:val="0"/>
          <w:color w:val="auto"/>
          <w:spacing w:val="0"/>
          <w:sz w:val="32"/>
          <w:szCs w:val="23"/>
          <w:highlight w:val="none"/>
          <w:shd w:val="clear" w:fill="FFFFFF"/>
        </w:rPr>
        <w:t>充换电基础设施点位规划，完善价格、土地、接入等配套政策，形成</w:t>
      </w:r>
      <w:r>
        <w:rPr>
          <w:rFonts w:hint="eastAsia" w:cs="Arial"/>
          <w:bCs w:val="0"/>
          <w:i w:val="0"/>
          <w:iCs w:val="0"/>
          <w:caps w:val="0"/>
          <w:color w:val="auto"/>
          <w:spacing w:val="0"/>
          <w:sz w:val="32"/>
          <w:szCs w:val="23"/>
          <w:highlight w:val="none"/>
          <w:shd w:val="clear" w:fill="FFFFFF"/>
          <w:lang w:eastAsia="zh-CN"/>
        </w:rPr>
        <w:t>“</w:t>
      </w:r>
      <w:r>
        <w:rPr>
          <w:rFonts w:hint="eastAsia" w:ascii="Times New Roman" w:hAnsi="Times New Roman" w:eastAsia="仿宋_GB2312" w:cs="Arial"/>
          <w:bCs w:val="0"/>
          <w:i w:val="0"/>
          <w:iCs w:val="0"/>
          <w:caps w:val="0"/>
          <w:color w:val="auto"/>
          <w:spacing w:val="0"/>
          <w:sz w:val="32"/>
          <w:szCs w:val="23"/>
          <w:highlight w:val="none"/>
          <w:shd w:val="clear" w:fill="FFFFFF"/>
        </w:rPr>
        <w:t>统一规划、多元建设、专业运营</w:t>
      </w:r>
      <w:r>
        <w:rPr>
          <w:rFonts w:hint="eastAsia" w:cs="Arial"/>
          <w:bCs w:val="0"/>
          <w:i w:val="0"/>
          <w:iCs w:val="0"/>
          <w:caps w:val="0"/>
          <w:color w:val="auto"/>
          <w:spacing w:val="0"/>
          <w:sz w:val="32"/>
          <w:szCs w:val="23"/>
          <w:highlight w:val="none"/>
          <w:shd w:val="clear" w:fill="FFFFFF"/>
          <w:lang w:eastAsia="zh-CN"/>
        </w:rPr>
        <w:t>”</w:t>
      </w:r>
      <w:r>
        <w:rPr>
          <w:rFonts w:hint="eastAsia" w:ascii="Times New Roman" w:hAnsi="Times New Roman" w:eastAsia="仿宋_GB2312" w:cs="Arial"/>
          <w:bCs w:val="0"/>
          <w:i w:val="0"/>
          <w:iCs w:val="0"/>
          <w:caps w:val="0"/>
          <w:color w:val="auto"/>
          <w:spacing w:val="0"/>
          <w:sz w:val="32"/>
          <w:szCs w:val="23"/>
          <w:highlight w:val="none"/>
          <w:shd w:val="clear" w:fill="FFFFFF"/>
        </w:rPr>
        <w:t>的发展格局，确保网络覆盖与运营效率双提升。</w:t>
      </w:r>
    </w:p>
    <w:p>
      <w:pPr>
        <w:pStyle w:val="22"/>
        <w:numPr>
          <w:ilvl w:val="0"/>
          <w:numId w:val="2"/>
        </w:numPr>
        <w:autoSpaceDE/>
        <w:autoSpaceDN/>
        <w:spacing w:line="560" w:lineRule="exact"/>
        <w:ind w:firstLine="640" w:firstLineChars="200"/>
        <w:outlineLvl w:val="0"/>
        <w:rPr>
          <w:rFonts w:hint="eastAsia" w:ascii="黑体" w:hAnsi="黑体" w:eastAsia="黑体" w:cs="黑体"/>
          <w:i w:val="0"/>
          <w:iCs w:val="0"/>
          <w:caps w:val="0"/>
          <w:color w:val="auto"/>
          <w:spacing w:val="0"/>
          <w:sz w:val="32"/>
          <w:szCs w:val="23"/>
          <w:highlight w:val="none"/>
          <w:shd w:val="clear" w:fill="FFFFFF"/>
          <w:lang w:val="en-US" w:eastAsia="zh-CN"/>
        </w:rPr>
      </w:pPr>
      <w:bookmarkStart w:id="115" w:name="_Toc20643"/>
      <w:r>
        <w:rPr>
          <w:rFonts w:hint="eastAsia" w:ascii="黑体" w:hAnsi="黑体" w:eastAsia="黑体" w:cs="黑体"/>
          <w:i w:val="0"/>
          <w:iCs w:val="0"/>
          <w:caps w:val="0"/>
          <w:color w:val="auto"/>
          <w:spacing w:val="0"/>
          <w:sz w:val="32"/>
          <w:szCs w:val="23"/>
          <w:highlight w:val="none"/>
          <w:shd w:val="clear" w:fill="FFFFFF"/>
          <w:lang w:val="en-US" w:eastAsia="zh-CN"/>
        </w:rPr>
        <w:t>强化能源科技创新攻坚，壮大新型能源产业</w:t>
      </w:r>
      <w:bookmarkEnd w:id="115"/>
    </w:p>
    <w:p>
      <w:pPr>
        <w:pStyle w:val="22"/>
        <w:numPr>
          <w:ilvl w:val="0"/>
          <w:numId w:val="8"/>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16" w:name="_Toc32664"/>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强化科技创新实力</w:t>
      </w:r>
      <w:bookmarkEnd w:id="116"/>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rPr>
      </w:pPr>
      <w:r>
        <w:rPr>
          <w:rFonts w:hint="default" w:ascii="Times New Roman Regular" w:hAnsi="Times New Roman Regular" w:cs="Times New Roman Regular"/>
          <w:b/>
          <w:bCs/>
          <w:color w:val="auto"/>
          <w:highlight w:val="none"/>
          <w:lang w:val="en-US" w:eastAsia="zh-CN"/>
        </w:rPr>
        <w:t>构建多层次创新平台体系</w:t>
      </w:r>
      <w:r>
        <w:rPr>
          <w:rFonts w:hint="eastAsia" w:ascii="Times New Roman Regular" w:hAnsi="Times New Roman Regular" w:cs="Times New Roman Regular"/>
          <w:b/>
          <w:bCs/>
          <w:color w:val="auto"/>
          <w:highlight w:val="none"/>
          <w:lang w:val="en-US" w:eastAsia="zh-CN"/>
        </w:rPr>
        <w:t>。</w:t>
      </w:r>
      <w:r>
        <w:rPr>
          <w:rFonts w:hint="eastAsia" w:ascii="Times New Roman Regular" w:hAnsi="Times New Roman Regular" w:cs="Times New Roman Regular"/>
          <w:b w:val="0"/>
          <w:bCs w:val="0"/>
          <w:color w:val="auto"/>
          <w:highlight w:val="none"/>
          <w:lang w:val="en-US" w:eastAsia="zh-CN"/>
        </w:rPr>
        <w:t>依托武汉都市圈科创资源，积极对接光谷科技创新大走廊，推动在鄂州布局建设能源领域省级重点实验室、产业技术创新中心等平台。支持</w:t>
      </w:r>
      <w:r>
        <w:rPr>
          <w:rFonts w:hint="default" w:ascii="Times New Roman Regular" w:hAnsi="Times New Roman Regular" w:cs="Times New Roman Regular"/>
          <w:color w:val="auto"/>
          <w:highlight w:val="none"/>
          <w:lang w:val="en-US" w:eastAsia="zh-CN"/>
        </w:rPr>
        <w:t>葛店经济技术开发区</w:t>
      </w:r>
      <w:r>
        <w:rPr>
          <w:rFonts w:hint="eastAsia" w:ascii="Times New Roman Regular" w:hAnsi="Times New Roman Regular" w:cs="Times New Roman Regular"/>
          <w:b w:val="0"/>
          <w:bCs w:val="0"/>
          <w:color w:val="auto"/>
          <w:highlight w:val="none"/>
          <w:lang w:val="en-US" w:eastAsia="zh-CN"/>
        </w:rPr>
        <w:t>、临空经济区联合高校院所、龙头企业共建新型储能、氢能制备与利用、生物质高值转化等方向的产学研合作基地与中试平台。设立市级能源科技专项引导资金，吸引高水平科研团队入驻，形成“研发—转化—孵化”链条化创新载体，提升自主创新能力与产业支撑水平。</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加强关键技术攻关。</w:t>
      </w:r>
      <w:r>
        <w:rPr>
          <w:rFonts w:hint="eastAsia" w:ascii="Times New Roman Regular" w:hAnsi="Times New Roman Regular" w:cs="Times New Roman Regular"/>
          <w:color w:val="auto"/>
          <w:szCs w:val="32"/>
          <w:highlight w:val="none"/>
          <w:lang w:val="en-US" w:eastAsia="zh-CN"/>
        </w:rPr>
        <w:t>围绕鄂州能源转型实际需求，制定能源技术攻关清单，探索推行“揭榜挂帅”等机制。</w:t>
      </w:r>
      <w:r>
        <w:rPr>
          <w:rFonts w:hint="eastAsia" w:ascii="Times New Roman" w:hAnsi="Times New Roman" w:cs="仿宋_GB2312"/>
          <w:b w:val="0"/>
          <w:bCs w:val="0"/>
          <w:color w:val="auto"/>
          <w:sz w:val="32"/>
          <w:szCs w:val="32"/>
          <w:highlight w:val="none"/>
          <w:lang w:val="en-US" w:eastAsia="zh-CN"/>
        </w:rPr>
        <w:t>设立能源科技重大专项，开展能源核心</w:t>
      </w:r>
      <w:r>
        <w:rPr>
          <w:rFonts w:hint="eastAsia" w:ascii="Times New Roman Regular" w:hAnsi="Times New Roman Regular" w:cs="Times New Roman Regular"/>
          <w:color w:val="auto"/>
          <w:szCs w:val="32"/>
          <w:highlight w:val="none"/>
          <w:lang w:val="en-US" w:eastAsia="zh-CN"/>
        </w:rPr>
        <w:t>技术攻关，推进能源与新材料、先进制造等技术深度融合。抢抓“人工智能+”机遇，依托鄂州数字经济基础，开展</w:t>
      </w:r>
      <w:r>
        <w:rPr>
          <w:rFonts w:hint="default" w:ascii="Times New Roman Regular" w:hAnsi="Times New Roman Regular" w:cs="Times New Roman Regular"/>
          <w:color w:val="auto"/>
          <w:szCs w:val="32"/>
          <w:highlight w:val="none"/>
          <w:lang w:val="en-US" w:eastAsia="zh-CN"/>
        </w:rPr>
        <w:t>人工智能+虚拟电厂、人工智能+负荷预测试点示范。推动鄂州电厂、鄂钢等重点用能企业建设</w:t>
      </w:r>
      <w:r>
        <w:rPr>
          <w:rFonts w:hint="eastAsia" w:ascii="Times New Roman Regular" w:hAnsi="Times New Roman Regular" w:cs="Times New Roman Regular"/>
          <w:color w:val="auto"/>
          <w:szCs w:val="32"/>
          <w:highlight w:val="none"/>
          <w:lang w:val="en-US" w:eastAsia="zh-CN"/>
        </w:rPr>
        <w:t>“</w:t>
      </w:r>
      <w:r>
        <w:rPr>
          <w:rFonts w:hint="default" w:ascii="Times New Roman Regular" w:hAnsi="Times New Roman Regular" w:cs="Times New Roman Regular"/>
          <w:color w:val="auto"/>
          <w:szCs w:val="32"/>
          <w:highlight w:val="none"/>
          <w:lang w:val="en-US" w:eastAsia="zh-CN"/>
        </w:rPr>
        <w:t>黑灯工厂</w:t>
      </w:r>
      <w:r>
        <w:rPr>
          <w:rFonts w:hint="eastAsia" w:ascii="Times New Roman Regular" w:hAnsi="Times New Roman Regular" w:cs="Times New Roman Regular"/>
          <w:color w:val="auto"/>
          <w:szCs w:val="32"/>
          <w:highlight w:val="none"/>
          <w:lang w:val="en-US" w:eastAsia="zh-CN"/>
        </w:rPr>
        <w:t>（车间）”</w:t>
      </w:r>
      <w:r>
        <w:rPr>
          <w:rFonts w:hint="default" w:ascii="Times New Roman Regular" w:hAnsi="Times New Roman Regular" w:cs="Times New Roman Regular"/>
          <w:color w:val="auto"/>
          <w:szCs w:val="32"/>
          <w:highlight w:val="none"/>
          <w:lang w:val="en-US" w:eastAsia="zh-CN"/>
        </w:rPr>
        <w:t>能源数智化升级，</w:t>
      </w:r>
      <w:r>
        <w:rPr>
          <w:rFonts w:hint="eastAsia" w:ascii="Times New Roman Regular" w:hAnsi="Times New Roman Regular" w:cs="Times New Roman Regular"/>
          <w:color w:val="auto"/>
          <w:szCs w:val="32"/>
          <w:highlight w:val="none"/>
          <w:lang w:val="en-US" w:eastAsia="zh-CN"/>
        </w:rPr>
        <w:t>支持鄂州电厂“人工智能+火电”项目，</w:t>
      </w:r>
      <w:r>
        <w:rPr>
          <w:rFonts w:hint="default" w:ascii="Times New Roman Regular" w:hAnsi="Times New Roman Regular" w:cs="Times New Roman Regular"/>
          <w:color w:val="auto"/>
          <w:szCs w:val="32"/>
          <w:highlight w:val="none"/>
          <w:lang w:val="en-US" w:eastAsia="zh-CN"/>
        </w:rPr>
        <w:t>打造能源领域的新质生产力。</w:t>
      </w:r>
      <w:r>
        <w:rPr>
          <w:rFonts w:hint="eastAsia" w:ascii="Times New Roman Regular" w:hAnsi="Times New Roman Regular" w:cs="Times New Roman Regular"/>
          <w:color w:val="auto"/>
          <w:szCs w:val="32"/>
          <w:highlight w:val="none"/>
          <w:lang w:val="en-US" w:eastAsia="zh-CN"/>
        </w:rPr>
        <w:t>鼓励企业联合科研机构开展CCUS、能源系统数字化仿真、综合能源系统优化等前瞻性技术研究，形成一批具有自主知识产权的核心技术成果。</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健全科技成果转化机制。</w:t>
      </w:r>
      <w:r>
        <w:rPr>
          <w:rFonts w:hint="eastAsia" w:ascii="Times New Roman Regular" w:hAnsi="Times New Roman Regular" w:cs="Times New Roman Regular"/>
          <w:color w:val="auto"/>
          <w:szCs w:val="32"/>
          <w:highlight w:val="none"/>
          <w:lang w:val="en-US" w:eastAsia="zh-CN"/>
        </w:rPr>
        <w:t>深化“政产学研金用”融合，搭建鄂州能源技术成果转化服务平台，提供技术评估、中试支持、金融对接等一站式服务。重点推动生物质热电联产集成、园区智慧微电网、充电设施智能管理等成熟技术规模化应用。开展首台（套）重大能源技术装备示范工程，在工业园区、公共机构等领域建设一批科技成果应用场景。加强与武汉技术市场联动，参与共建区域性绿色技术交易网络，加速能源创新成果在鄂州及周边区域的产业化落地。</w:t>
      </w:r>
    </w:p>
    <w:p>
      <w:pPr>
        <w:pStyle w:val="22"/>
        <w:numPr>
          <w:ilvl w:val="0"/>
          <w:numId w:val="8"/>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17" w:name="_Toc23312"/>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大力推动储能产业发展</w:t>
      </w:r>
      <w:bookmarkEnd w:id="117"/>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拓宽新型储能应用场景。</w:t>
      </w:r>
      <w:r>
        <w:rPr>
          <w:rFonts w:hint="default" w:ascii="Times New Roman Regular" w:hAnsi="Times New Roman Regular" w:cs="Times New Roman Regular"/>
          <w:color w:val="auto"/>
          <w:highlight w:val="none"/>
          <w:lang w:val="en-US" w:eastAsia="zh-CN"/>
        </w:rPr>
        <w:t>明确鄂州市中长期新型储能发展目标及重点任务，大力发展新型储能技术。结合实际需求，推动建设配置储能的系统友好型新能源电站项目。持续推进电源侧</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新能源+储能</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一体化开发、融合发展，促进本地新能源高效消纳利用，支持储能与分布式新能源、充电桩、电动汽车、数据中心开展资源聚合。推动电网侧储能电站、风光储电站建设，推动移动式、固定式储能电站建设，引导终端用户侧自主建设新型储能设施。探索储能融合发展新场景，积极构建</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共享储能</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等多种商业模式，提高用电可靠性和电能质量。</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多元化发展新型储能技术。</w:t>
      </w:r>
      <w:r>
        <w:rPr>
          <w:rFonts w:hint="eastAsia" w:ascii="Times New Roman Regular" w:hAnsi="Times New Roman Regular" w:cs="Times New Roman Regular"/>
          <w:color w:val="auto"/>
          <w:szCs w:val="32"/>
          <w:highlight w:val="none"/>
          <w:lang w:val="en-US" w:eastAsia="zh-CN"/>
        </w:rPr>
        <w:t>结合鄂州电网调节需求、资源条件及产业基础，制定新型储能技术发展路线图。优先发展技术成熟度高的锂离子电池储能，在电源侧、电网侧及用户侧规模化部署。积极布局液流电池、压缩空气储能等长时储能技术，在符合条件的园区或枢纽站点开展试点示范。跟踪推进钠离子电池、固态电池等下一代电化学储能技术的研发与中试。加速形成多技术路径互补、梯次发展的储能技术体系。</w:t>
      </w:r>
    </w:p>
    <w:p>
      <w:pPr>
        <w:pStyle w:val="22"/>
        <w:numPr>
          <w:ilvl w:val="0"/>
          <w:numId w:val="8"/>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18" w:name="_Toc31892"/>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推进先进能源装备制造产业发展</w:t>
      </w:r>
      <w:bookmarkEnd w:id="118"/>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推进先进光伏装备制造。</w:t>
      </w:r>
      <w:r>
        <w:rPr>
          <w:rFonts w:hint="eastAsia" w:ascii="Times New Roman Regular" w:hAnsi="Times New Roman Regular" w:cs="Times New Roman Regular"/>
          <w:color w:val="auto"/>
          <w:szCs w:val="32"/>
          <w:highlight w:val="none"/>
          <w:lang w:val="en-US" w:eastAsia="zh-CN"/>
        </w:rPr>
        <w:t>立足鄂州毗邻武汉“光芯屏端网”产业集群的区位优势，积极承接产业转移与协作，推动光伏装备产业向高端化、多元化发展。重点围绕N型高效晶硅电池及钙钛矿等高效薄膜电池两大前沿方向，引进相关电池、组件及关键辅材装备制造企业。鼓励企业开展技术迭代与工艺革新，支持本地产业链向上游材料及下游应用系统延伸，构建从核心技术到终端产品的完整光伏装备制造体系，打造具有区域影响力的光伏技术研发与制造高地。</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推进风机装备制造发展。</w:t>
      </w:r>
      <w:r>
        <w:rPr>
          <w:rFonts w:hint="eastAsia" w:ascii="Times New Roman Regular" w:hAnsi="Times New Roman Regular" w:cs="Times New Roman Regular"/>
          <w:color w:val="auto"/>
          <w:szCs w:val="32"/>
          <w:highlight w:val="none"/>
          <w:lang w:val="en-US" w:eastAsia="zh-CN"/>
        </w:rPr>
        <w:t>依托武汉都市圈装备制造基础，加快发展适应低风速、高可靠性需求的风电装备产业。围绕水平轴风机主流市场，重点引进双馈、永磁半直驱等成熟先进技术路线的整机及关键零部件制造项目。前瞻布局构网型风机及“构网型风机+储能”集成系统产业，提升新能源电站对电网的主动支撑能力。</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lang w:val="en-US" w:eastAsia="zh-CN"/>
        </w:rPr>
      </w:pPr>
      <w:r>
        <w:rPr>
          <w:rFonts w:hint="eastAsia" w:ascii="Times New Roman Regular" w:hAnsi="Times New Roman Regular" w:cs="Times New Roman Regular"/>
          <w:b/>
          <w:bCs w:val="0"/>
          <w:color w:val="auto"/>
          <w:szCs w:val="32"/>
          <w:highlight w:val="none"/>
          <w:lang w:val="en-US" w:eastAsia="zh-CN"/>
        </w:rPr>
        <w:t>加快布局储能装备制造。</w:t>
      </w:r>
      <w:r>
        <w:rPr>
          <w:rFonts w:hint="eastAsia" w:ascii="Times New Roman Regular" w:hAnsi="Times New Roman Regular" w:cs="Times New Roman Regular"/>
          <w:color w:val="auto"/>
          <w:szCs w:val="32"/>
          <w:highlight w:val="none"/>
          <w:lang w:val="en-US" w:eastAsia="zh-CN"/>
        </w:rPr>
        <w:t>抢抓“十五五”时期储能发展机遇，系统推进储能装备产业招商和培育。重点招引正负极材料、隔膜、电解液等上游关键材料，储能电池、变流器、电池管理系统等中游设备、系统集成的龙头企业。重点发展电化学储能，积极探索全钒液流储能、压缩空气储能、钠离子电池储能等多元技术路线的商业化发展，推动大容量、长时储能技术装备发展。</w:t>
      </w:r>
    </w:p>
    <w:p>
      <w:pPr>
        <w:pStyle w:val="22"/>
        <w:numPr>
          <w:ilvl w:val="0"/>
          <w:numId w:val="8"/>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19" w:name="_Toc30066"/>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规划布局氢能产业</w:t>
      </w:r>
      <w:bookmarkEnd w:id="119"/>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Regular" w:hAnsi="Times New Roman Regular" w:cs="Times New Roman Regular"/>
          <w:color w:val="auto"/>
          <w:szCs w:val="32"/>
          <w:highlight w:val="none"/>
          <w:lang w:eastAsia="zh-CN"/>
        </w:rPr>
      </w:pPr>
      <w:r>
        <w:rPr>
          <w:rFonts w:hint="default" w:ascii="Times New Roman Regular" w:hAnsi="Times New Roman Regular" w:cs="Times New Roman Regular"/>
          <w:b/>
          <w:bCs/>
          <w:color w:val="auto"/>
          <w:highlight w:val="none"/>
          <w:lang w:val="en-US" w:eastAsia="zh-CN"/>
        </w:rPr>
        <w:t>构建氢能供应体系</w:t>
      </w:r>
      <w:r>
        <w:rPr>
          <w:rFonts w:hint="default" w:ascii="Times New Roman Regular" w:hAnsi="Times New Roman Regular" w:cs="Times New Roman Regular"/>
          <w:b/>
          <w:bCs/>
          <w:color w:val="auto"/>
          <w:highlight w:val="none"/>
        </w:rPr>
        <w:t>。</w:t>
      </w:r>
      <w:r>
        <w:rPr>
          <w:rFonts w:hint="default" w:ascii="Times New Roman Regular" w:hAnsi="Times New Roman Regular" w:cs="Times New Roman Regular"/>
          <w:b w:val="0"/>
          <w:bCs w:val="0"/>
          <w:color w:val="auto"/>
          <w:highlight w:val="none"/>
          <w:lang w:val="en-US" w:eastAsia="zh-CN"/>
        </w:rPr>
        <w:t>充分发挥综合资源禀赋特点和产业布局，因地制宜选择制氢技术路线，逐步推动构建清洁化、低碳化、低成本的多元制氢体系。支持鄂钢</w:t>
      </w:r>
      <w:r>
        <w:rPr>
          <w:rFonts w:hint="default" w:ascii="Times New Roman Regular" w:hAnsi="Times New Roman Regular" w:cs="Times New Roman Regular"/>
          <w:color w:val="auto"/>
          <w:szCs w:val="32"/>
          <w:highlight w:val="none"/>
          <w:lang w:val="en-US" w:eastAsia="zh-CN"/>
        </w:rPr>
        <w:t>规划建设氢能产业基地，</w:t>
      </w:r>
      <w:r>
        <w:rPr>
          <w:rFonts w:hint="default" w:ascii="Times New Roman Regular" w:hAnsi="Times New Roman Regular" w:cs="Times New Roman Regular"/>
          <w:b w:val="0"/>
          <w:bCs w:val="0"/>
          <w:color w:val="auto"/>
          <w:highlight w:val="none"/>
          <w:lang w:val="en-US" w:eastAsia="zh-CN"/>
        </w:rPr>
        <w:t>充分利用现有焦炉煤气工业副产氢优势资源，提高氢气产率，鼓励就近消纳，降低工业副产氢供给成本。支持在鄂钢厂区建设氢能产业基地，鼓励建设加氢站，</w:t>
      </w:r>
      <w:r>
        <w:rPr>
          <w:rFonts w:hint="default" w:ascii="Times New Roman Regular" w:hAnsi="Times New Roman Regular" w:cs="Times New Roman Regular"/>
          <w:color w:val="auto"/>
          <w:szCs w:val="32"/>
          <w:highlight w:val="none"/>
          <w:lang w:val="en-US" w:eastAsia="zh-CN"/>
        </w:rPr>
        <w:t>配套发展氢能源物流产业链</w:t>
      </w:r>
      <w:r>
        <w:rPr>
          <w:rFonts w:hint="default" w:ascii="Times New Roman Regular" w:hAnsi="Times New Roman Regular" w:cs="Times New Roman Regular"/>
          <w:b w:val="0"/>
          <w:bCs w:val="0"/>
          <w:color w:val="auto"/>
          <w:highlight w:val="none"/>
          <w:lang w:val="en-US" w:eastAsia="zh-CN"/>
        </w:rPr>
        <w:t>。</w:t>
      </w:r>
      <w:r>
        <w:rPr>
          <w:rFonts w:hint="default" w:ascii="Times New Roman Regular" w:hAnsi="Times New Roman Regular" w:cs="Times New Roman Regular"/>
          <w:color w:val="auto"/>
          <w:szCs w:val="32"/>
          <w:highlight w:val="none"/>
        </w:rPr>
        <w:t>鼓励</w:t>
      </w:r>
      <w:r>
        <w:rPr>
          <w:rFonts w:hint="default" w:ascii="Times New Roman Regular" w:hAnsi="Times New Roman Regular" w:cs="Times New Roman Regular"/>
          <w:color w:val="auto"/>
          <w:szCs w:val="32"/>
          <w:highlight w:val="none"/>
          <w:lang w:val="en-US" w:eastAsia="zh-CN"/>
        </w:rPr>
        <w:t>氢能企业</w:t>
      </w:r>
      <w:r>
        <w:rPr>
          <w:rFonts w:hint="default" w:ascii="Times New Roman Regular" w:hAnsi="Times New Roman Regular" w:cs="Times New Roman Regular"/>
          <w:color w:val="auto"/>
          <w:szCs w:val="32"/>
          <w:highlight w:val="none"/>
        </w:rPr>
        <w:t>灵活用好</w:t>
      </w:r>
      <w:r>
        <w:rPr>
          <w:rFonts w:hint="eastAsia" w:ascii="Times New Roman Regular" w:hAnsi="Times New Roman Regular" w:cs="Times New Roman Regular"/>
          <w:color w:val="auto"/>
          <w:szCs w:val="32"/>
          <w:highlight w:val="none"/>
          <w:lang w:val="en-US" w:eastAsia="zh-CN"/>
        </w:rPr>
        <w:t>电价机制</w:t>
      </w:r>
      <w:r>
        <w:rPr>
          <w:rFonts w:hint="default" w:ascii="Times New Roman Regular" w:hAnsi="Times New Roman Regular" w:cs="Times New Roman Regular"/>
          <w:color w:val="auto"/>
          <w:szCs w:val="32"/>
          <w:highlight w:val="none"/>
        </w:rPr>
        <w:t>，降低绿氢制造电价成本</w:t>
      </w:r>
      <w:r>
        <w:rPr>
          <w:rFonts w:hint="default"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支持开展离网制氢、生物质制氢、光解水制氢等绿氢制取新技术应用</w:t>
      </w:r>
      <w:r>
        <w:rPr>
          <w:rFonts w:hint="default" w:ascii="Times New Roman Regular" w:hAnsi="Times New Roman Regular" w:cs="Times New Roman Regular"/>
          <w:color w:val="auto"/>
          <w:szCs w:val="32"/>
          <w:highlight w:val="none"/>
          <w:lang w:eastAsia="zh-CN"/>
        </w:rPr>
        <w:t>。</w:t>
      </w:r>
      <w:r>
        <w:rPr>
          <w:rFonts w:hint="eastAsia" w:ascii="Times New Roman Regular" w:hAnsi="Times New Roman Regular" w:cs="Times New Roman Regular"/>
          <w:color w:val="auto"/>
          <w:szCs w:val="32"/>
          <w:highlight w:val="none"/>
          <w:lang w:eastAsia="zh-CN"/>
        </w:rPr>
        <w:t>逐步探索灰氢向绿氢过渡，</w:t>
      </w:r>
      <w:r>
        <w:rPr>
          <w:rFonts w:hint="default" w:ascii="Times New Roman Regular" w:hAnsi="Times New Roman Regular" w:cs="Times New Roman Regular"/>
          <w:color w:val="auto"/>
          <w:szCs w:val="32"/>
          <w:highlight w:val="none"/>
        </w:rPr>
        <w:t>支持</w:t>
      </w:r>
      <w:r>
        <w:rPr>
          <w:rFonts w:hint="default" w:ascii="Times New Roman Regular" w:hAnsi="Times New Roman Regular" w:cs="Times New Roman Regular"/>
          <w:color w:val="auto"/>
          <w:szCs w:val="32"/>
          <w:highlight w:val="none"/>
          <w:lang w:val="en-US" w:eastAsia="zh-CN"/>
        </w:rPr>
        <w:t>新能源</w:t>
      </w:r>
      <w:r>
        <w:rPr>
          <w:rFonts w:hint="default" w:ascii="Times New Roman Regular" w:hAnsi="Times New Roman Regular" w:cs="Times New Roman Regular"/>
          <w:color w:val="auto"/>
          <w:szCs w:val="32"/>
          <w:highlight w:val="none"/>
        </w:rPr>
        <w:t>企业</w:t>
      </w:r>
      <w:r>
        <w:rPr>
          <w:rFonts w:hint="default" w:ascii="Times New Roman Regular" w:hAnsi="Times New Roman Regular" w:cs="Times New Roman Regular"/>
          <w:color w:val="auto"/>
          <w:szCs w:val="32"/>
          <w:highlight w:val="none"/>
          <w:lang w:val="en-US" w:eastAsia="zh-CN"/>
        </w:rPr>
        <w:t>在风光资源丰富地区开展可再生能源制氢示范</w:t>
      </w:r>
      <w:r>
        <w:rPr>
          <w:rFonts w:hint="eastAsia" w:ascii="Times New Roman Regular" w:hAnsi="Times New Roman Regular" w:cs="Times New Roman Regular"/>
          <w:color w:val="auto"/>
          <w:szCs w:val="32"/>
          <w:highlight w:val="none"/>
          <w:lang w:val="en-US" w:eastAsia="zh-CN"/>
        </w:rPr>
        <w:t>，打造“</w:t>
      </w:r>
      <w:r>
        <w:rPr>
          <w:rFonts w:hint="default" w:ascii="Times New Roman Regular" w:hAnsi="Times New Roman Regular" w:cs="Times New Roman Regular"/>
          <w:color w:val="auto"/>
          <w:szCs w:val="32"/>
          <w:highlight w:val="none"/>
        </w:rPr>
        <w:t>风光制取+储氢+管网掺氢</w:t>
      </w:r>
      <w:r>
        <w:rPr>
          <w:rFonts w:hint="eastAsia" w:ascii="Times New Roman Regular" w:hAnsi="Times New Roman Regular" w:cs="Times New Roman Regular"/>
          <w:color w:val="auto"/>
          <w:szCs w:val="32"/>
          <w:highlight w:val="none"/>
          <w:lang w:val="en-US" w:eastAsia="zh-CN"/>
        </w:rPr>
        <w:t>”</w:t>
      </w:r>
      <w:r>
        <w:rPr>
          <w:rFonts w:hint="default" w:ascii="Times New Roman Regular" w:hAnsi="Times New Roman Regular" w:cs="Times New Roman Regular"/>
          <w:color w:val="auto"/>
          <w:szCs w:val="32"/>
          <w:highlight w:val="none"/>
        </w:rPr>
        <w:t>示范，推动绿氢在冶金、化工领域的逐步替代</w:t>
      </w:r>
      <w:r>
        <w:rPr>
          <w:rFonts w:hint="default" w:ascii="Times New Roman Regular" w:hAnsi="Times New Roman Regular" w:cs="Times New Roman Regular"/>
          <w:color w:val="auto"/>
          <w:szCs w:val="32"/>
          <w:highlight w:val="none"/>
          <w:lang w:val="en-US" w:eastAsia="zh-CN"/>
        </w:rPr>
        <w:t>。</w:t>
      </w:r>
      <w:r>
        <w:rPr>
          <w:rFonts w:hint="default" w:ascii="Times New Roman Regular" w:hAnsi="Times New Roman Regular" w:cs="Times New Roman Regular"/>
          <w:color w:val="auto"/>
          <w:szCs w:val="32"/>
          <w:highlight w:val="none"/>
        </w:rPr>
        <w:t>积极融入</w:t>
      </w:r>
      <w:r>
        <w:rPr>
          <w:rFonts w:hint="eastAsia"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武汉+</w:t>
      </w:r>
      <w:r>
        <w:rPr>
          <w:rFonts w:hint="eastAsia"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燃料电池汽车示范城市群，加强与武汉在氢能技术研发、装备制造、应用场景等方面的协同。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Regular" w:hAnsi="Times New Roman Regular" w:cs="Times New Roman Regular"/>
          <w:b/>
          <w:bCs/>
          <w:color w:val="auto"/>
          <w:szCs w:val="32"/>
          <w:highlight w:val="none"/>
          <w:lang w:val="en-US" w:eastAsia="zh-CN"/>
        </w:rPr>
      </w:pPr>
      <w:r>
        <w:rPr>
          <w:rFonts w:hint="default" w:ascii="Times New Roman Regular" w:hAnsi="Times New Roman Regular" w:cs="Times New Roman Regular"/>
          <w:b/>
          <w:bCs/>
          <w:color w:val="auto"/>
          <w:szCs w:val="32"/>
          <w:highlight w:val="none"/>
          <w:lang w:val="en-US" w:eastAsia="zh-CN"/>
        </w:rPr>
        <w:t>构建氢能储运体系。</w:t>
      </w:r>
      <w:r>
        <w:rPr>
          <w:rFonts w:hint="default" w:ascii="Times New Roman Regular" w:hAnsi="Times New Roman Regular" w:cs="Times New Roman Regular"/>
          <w:b w:val="0"/>
          <w:bCs w:val="0"/>
          <w:color w:val="auto"/>
          <w:szCs w:val="32"/>
          <w:highlight w:val="none"/>
          <w:lang w:val="en-US" w:eastAsia="zh-CN"/>
        </w:rPr>
        <w:t>以安全可控为前提，积极推进技术材料工艺创新，支持开展多种储运方式的探索和实践。依托湖北能源、鄂钢等企业，推动高压气态、低温液态储运技术研究，加快降低储运成本，探索固态、深冷高压、有机液体等储运方式应用。依托鄂钢中厚板生产线，开发纯氢管线钢产品，支持氢能储运体系。探索开展掺氢天然气管道、纯氢管道等试点示范。逐步构建高密度、轻量化、低成本、多元化的氢能储运体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lang w:val="en-US" w:eastAsia="zh-CN"/>
        </w:rPr>
        <w:t>规划加氢网络建设。</w:t>
      </w:r>
      <w:r>
        <w:rPr>
          <w:rFonts w:hint="default" w:ascii="Times New Roman Regular" w:hAnsi="Times New Roman Regular" w:cs="Times New Roman Regular"/>
          <w:color w:val="auto"/>
          <w:highlight w:val="none"/>
          <w:lang w:val="en-US" w:eastAsia="zh-CN"/>
        </w:rPr>
        <w:t>坚持需求导向，统筹布局建设加氢站，有序推进加氢网络体系建设，对加氢站在规划调整、土地供应等方面给予优先支持。鼓励现有加油加气站改扩建制氢加氢装置，鼓励新布点加油站同步规划建设加氢设施，加快布局</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油气电氢</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综合能源补给站。探索站内制储加氢一体化、移动式加氢等加氢站新模式，支持在化工园区外建设制加氢一体站。</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szCs w:val="32"/>
          <w:highlight w:val="none"/>
          <w:lang w:eastAsia="zh-CN"/>
        </w:rPr>
      </w:pPr>
      <w:r>
        <w:rPr>
          <w:rFonts w:hint="default" w:ascii="Times New Roman Regular" w:hAnsi="Times New Roman Regular" w:cs="Times New Roman Regular"/>
          <w:b/>
          <w:bCs/>
          <w:color w:val="auto"/>
          <w:highlight w:val="none"/>
          <w:lang w:val="en-US" w:eastAsia="zh-CN"/>
        </w:rPr>
        <w:t>拓宽氢能应用场景。</w:t>
      </w:r>
      <w:r>
        <w:rPr>
          <w:rFonts w:hint="default" w:ascii="Times New Roman Regular" w:hAnsi="Times New Roman Regular" w:cs="Times New Roman Regular"/>
          <w:color w:val="auto"/>
          <w:highlight w:val="none"/>
          <w:lang w:val="en-US" w:eastAsia="zh-CN"/>
        </w:rPr>
        <w:t>坚持以市场应用为牵引，合理布局，有序推进氢能在交通、储能、分布式发电、工业等领域的应用。立足鄂州市氢能产业发展现状，重点推进氢燃料电池在港口物流、工业园区重型运输、公交等</w:t>
      </w:r>
      <w:r>
        <w:rPr>
          <w:rFonts w:hint="eastAsia" w:ascii="Times New Roman Regular" w:hAnsi="Times New Roman Regular" w:cs="Times New Roman Regular"/>
          <w:color w:val="auto"/>
          <w:highlight w:val="none"/>
          <w:lang w:val="en-US" w:eastAsia="zh-CN"/>
        </w:rPr>
        <w:t>领域</w:t>
      </w:r>
      <w:r>
        <w:rPr>
          <w:rFonts w:hint="default" w:ascii="Times New Roman Regular" w:hAnsi="Times New Roman Regular" w:cs="Times New Roman Regular"/>
          <w:color w:val="auto"/>
          <w:highlight w:val="none"/>
          <w:lang w:val="en-US" w:eastAsia="zh-CN"/>
        </w:rPr>
        <w:t>的应用，逐步构建燃料电池电动汽车与锂电池纯电动汽车的互补发展模式。开展氢储能在可再生能源消纳、电网调峰等应用场景的示范，探索</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风光发电+氢储能</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一体化发展新模式</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打造区域氢能装备及零部件产业基地。推进鄂钢工业副产氢就地消纳，</w:t>
      </w:r>
      <w:r>
        <w:rPr>
          <w:rFonts w:hint="default" w:ascii="Times New Roman Regular" w:hAnsi="Times New Roman Regular" w:cs="Times New Roman Regular"/>
          <w:color w:val="auto"/>
          <w:szCs w:val="32"/>
          <w:highlight w:val="none"/>
        </w:rPr>
        <w:t>拓展氢能在冶金、建材、合成氨、合成甲醇等领域的替代应用</w:t>
      </w:r>
      <w:r>
        <w:rPr>
          <w:rFonts w:hint="default" w:ascii="Times New Roman Regular" w:hAnsi="Times New Roman Regular" w:cs="Times New Roman Regular"/>
          <w:color w:val="auto"/>
          <w:szCs w:val="32"/>
          <w:highlight w:val="none"/>
          <w:lang w:eastAsia="zh-CN"/>
        </w:rPr>
        <w:t>，</w:t>
      </w:r>
      <w:r>
        <w:rPr>
          <w:rFonts w:hint="default" w:ascii="Times New Roman Regular" w:hAnsi="Times New Roman Regular" w:cs="Times New Roman Regular"/>
          <w:color w:val="auto"/>
          <w:szCs w:val="32"/>
          <w:highlight w:val="none"/>
        </w:rPr>
        <w:t>支持开展富氢冶金工艺试点示范，推动钢铁行业深度脱碳，促进高耗能行业绿色转型发展</w:t>
      </w:r>
      <w:r>
        <w:rPr>
          <w:rFonts w:hint="default" w:ascii="Times New Roman Regular" w:hAnsi="Times New Roman Regular" w:cs="Times New Roman Regular"/>
          <w:color w:val="auto"/>
          <w:szCs w:val="32"/>
          <w:highlight w:val="none"/>
          <w:lang w:eastAsia="zh-CN"/>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2" w:type="dxa"/>
            <w:vAlign w:val="center"/>
          </w:tcPr>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560" w:lineRule="exact"/>
              <w:ind w:left="0" w:leftChars="0" w:right="0" w:rightChars="0" w:firstLine="0" w:firstLineChars="0"/>
              <w:jc w:val="center"/>
              <w:textAlignment w:val="center"/>
              <w:rPr>
                <w:rFonts w:hint="default" w:ascii="Times New Roman Regular" w:hAnsi="Times New Roman Regular" w:cs="Times New Roman Regular"/>
                <w:color w:val="auto"/>
                <w:szCs w:val="32"/>
                <w:highlight w:val="none"/>
                <w:vertAlign w:val="baseline"/>
                <w:lang w:eastAsia="zh-CN"/>
              </w:rPr>
            </w:pPr>
            <w:r>
              <w:rPr>
                <w:rFonts w:hint="default" w:ascii="Times New Roman" w:hAnsi="Times New Roman" w:eastAsia="黑体" w:cs="Times New Roman"/>
                <w:color w:val="auto"/>
                <w:sz w:val="32"/>
                <w:szCs w:val="32"/>
                <w:lang w:val="en-US" w:eastAsia="zh-CN"/>
              </w:rPr>
              <w:t>专栏</w:t>
            </w:r>
            <w:r>
              <w:rPr>
                <w:rFonts w:hint="eastAsia" w:ascii="Times New Roman" w:hAnsi="Times New Roman" w:eastAsia="黑体" w:cs="Times New Roman"/>
                <w:color w:val="auto"/>
                <w:sz w:val="32"/>
                <w:szCs w:val="32"/>
                <w:lang w:val="en-US" w:eastAsia="zh-CN"/>
              </w:rPr>
              <w:t>6</w:t>
            </w:r>
            <w:r>
              <w:rPr>
                <w:rFonts w:hint="default" w:ascii="Times New Roman" w:hAnsi="Times New Roman" w:eastAsia="黑体" w:cs="Times New Roman"/>
                <w:color w:val="auto"/>
                <w:sz w:val="32"/>
                <w:szCs w:val="32"/>
                <w:lang w:val="en-US" w:eastAsia="zh-CN"/>
              </w:rPr>
              <w:t xml:space="preserve">  重点推进</w:t>
            </w:r>
            <w:r>
              <w:rPr>
                <w:rFonts w:hint="eastAsia" w:ascii="Times New Roman" w:hAnsi="Times New Roman" w:eastAsia="黑体" w:cs="Times New Roman"/>
                <w:color w:val="auto"/>
                <w:sz w:val="32"/>
                <w:szCs w:val="32"/>
                <w:lang w:val="en-US" w:eastAsia="zh-CN"/>
              </w:rPr>
              <w:t>氢能</w:t>
            </w:r>
            <w:r>
              <w:rPr>
                <w:rFonts w:hint="default" w:ascii="Times New Roman" w:hAnsi="Times New Roman" w:eastAsia="黑体" w:cs="Times New Roman"/>
                <w:color w:val="auto"/>
                <w:sz w:val="32"/>
                <w:szCs w:val="32"/>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宝武集团鄂城钢铁电解水制氢项目</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项目规模55.5万m</w:t>
            </w:r>
            <w:r>
              <w:rPr>
                <w:rFonts w:hint="eastAsia" w:ascii="宋体" w:hAnsi="宋体" w:eastAsia="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/a，探索钢铁行业绿氢替代与深度脱碳路径。</w:t>
            </w:r>
          </w:p>
          <w:p>
            <w:pPr>
              <w:keepNext w:val="0"/>
              <w:keepLines w:val="0"/>
              <w:pageBreakBefore w:val="0"/>
              <w:widowControl w:val="0"/>
              <w:numPr>
                <w:ilvl w:val="0"/>
                <w:numId w:val="0"/>
              </w:numPr>
              <w:kinsoku/>
              <w:wordWrap/>
              <w:overflowPunct/>
              <w:topLinePunct w:val="0"/>
              <w:autoSpaceDE/>
              <w:autoSpaceDN/>
              <w:bidi w:val="0"/>
              <w:adjustRightInd w:val="0"/>
              <w:snapToGrid w:val="0"/>
              <w:ind w:firstLine="560" w:firstLineChars="200"/>
              <w:textAlignment w:val="baseline"/>
              <w:outlineLvl w:val="9"/>
              <w:rPr>
                <w:rFonts w:hint="default" w:ascii="Times New Roman Regular" w:hAnsi="Times New Roman Regular" w:cs="Times New Roman Regular"/>
                <w:color w:val="auto"/>
                <w:szCs w:val="32"/>
                <w:highlight w:val="none"/>
                <w:vertAlign w:val="baseline"/>
                <w:lang w:val="en-US" w:eastAsia="zh-CN"/>
              </w:rPr>
            </w:pPr>
            <w:r>
              <w:rPr>
                <w:rFonts w:hint="eastAsia" w:ascii="宋体" w:hAnsi="宋体" w:eastAsia="宋体" w:cs="宋体"/>
                <w:color w:val="auto"/>
                <w:kern w:val="2"/>
                <w:sz w:val="28"/>
                <w:szCs w:val="28"/>
                <w:highlight w:val="none"/>
                <w:lang w:val="en-US" w:eastAsia="zh-CN" w:bidi="ar-SA"/>
              </w:rPr>
              <w:t>2.宝武集团鄂城钢铁氢气提纯项目</w:t>
            </w:r>
            <w:r>
              <w:rPr>
                <w:rFonts w:hint="eastAsia" w:ascii="宋体" w:hAnsi="宋体" w:eastAsia="宋体" w:cs="宋体"/>
                <w:color w:val="auto"/>
                <w:sz w:val="28"/>
                <w:szCs w:val="28"/>
                <w:highlight w:val="none"/>
                <w:lang w:eastAsia="zh-CN"/>
              </w:rPr>
              <w:t>，利用焦炉煤气提纯制取高纯氢气，</w:t>
            </w:r>
            <w:r>
              <w:rPr>
                <w:rFonts w:hint="eastAsia" w:ascii="宋体" w:hAnsi="宋体" w:eastAsia="宋体" w:cs="宋体"/>
                <w:color w:val="auto"/>
                <w:sz w:val="28"/>
                <w:szCs w:val="28"/>
                <w:highlight w:val="none"/>
                <w:lang w:val="en-US" w:eastAsia="zh-CN"/>
              </w:rPr>
              <w:t>项目规模6000m</w:t>
            </w:r>
            <w:r>
              <w:rPr>
                <w:rFonts w:hint="eastAsia" w:ascii="宋体" w:hAnsi="宋体" w:eastAsia="宋体" w:cs="宋体"/>
                <w:color w:val="auto"/>
                <w:sz w:val="28"/>
                <w:szCs w:val="28"/>
                <w:highlight w:val="none"/>
                <w:vertAlign w:val="superscript"/>
                <w:lang w:val="en-US" w:eastAsia="zh-CN"/>
              </w:rPr>
              <w:t>3</w:t>
            </w:r>
            <w:r>
              <w:rPr>
                <w:rFonts w:hint="eastAsia" w:ascii="宋体" w:hAnsi="宋体" w:eastAsia="宋体" w:cs="宋体"/>
                <w:color w:val="auto"/>
                <w:sz w:val="28"/>
                <w:szCs w:val="28"/>
                <w:highlight w:val="none"/>
                <w:lang w:val="en-US" w:eastAsia="zh-CN"/>
              </w:rPr>
              <w:t>/h</w:t>
            </w:r>
            <w:r>
              <w:rPr>
                <w:rFonts w:hint="eastAsia" w:ascii="宋体" w:hAnsi="宋体" w:eastAsia="宋体" w:cs="宋体"/>
                <w:bCs w:val="0"/>
                <w:snapToGrid/>
                <w:color w:val="auto"/>
                <w:kern w:val="2"/>
                <w:sz w:val="28"/>
                <w:szCs w:val="28"/>
                <w:highlight w:val="none"/>
                <w:shd w:val="clear"/>
                <w:lang w:val="en-US" w:eastAsia="zh-CN"/>
              </w:rPr>
              <w:t>，为钢铁生产提供低成本氢源，循序推进灰氢向绿氢过渡。</w:t>
            </w:r>
          </w:p>
        </w:tc>
      </w:tr>
    </w:tbl>
    <w:p>
      <w:pPr>
        <w:pStyle w:val="22"/>
        <w:numPr>
          <w:ilvl w:val="0"/>
          <w:numId w:val="2"/>
        </w:numPr>
        <w:autoSpaceDE/>
        <w:autoSpaceDN/>
        <w:spacing w:line="560" w:lineRule="exact"/>
        <w:ind w:firstLine="640" w:firstLineChars="200"/>
        <w:outlineLvl w:val="0"/>
        <w:rPr>
          <w:rFonts w:hint="eastAsia" w:ascii="黑体" w:hAnsi="黑体" w:eastAsia="黑体" w:cs="黑体"/>
          <w:i w:val="0"/>
          <w:iCs w:val="0"/>
          <w:caps w:val="0"/>
          <w:color w:val="auto"/>
          <w:spacing w:val="0"/>
          <w:sz w:val="32"/>
          <w:szCs w:val="23"/>
          <w:highlight w:val="none"/>
          <w:shd w:val="clear" w:fill="FFFFFF"/>
          <w:lang w:val="en-US" w:eastAsia="zh-CN"/>
        </w:rPr>
      </w:pPr>
      <w:bookmarkStart w:id="120" w:name="_Toc19913"/>
      <w:bookmarkStart w:id="121" w:name="_Toc18186"/>
      <w:bookmarkStart w:id="122" w:name="_Toc2998"/>
      <w:r>
        <w:rPr>
          <w:rFonts w:hint="eastAsia" w:ascii="黑体" w:hAnsi="黑体" w:eastAsia="黑体" w:cs="黑体"/>
          <w:i w:val="0"/>
          <w:iCs w:val="0"/>
          <w:caps w:val="0"/>
          <w:color w:val="auto"/>
          <w:spacing w:val="0"/>
          <w:sz w:val="32"/>
          <w:szCs w:val="23"/>
          <w:highlight w:val="none"/>
          <w:shd w:val="clear" w:fill="FFFFFF"/>
          <w:lang w:val="en-US" w:eastAsia="zh-CN"/>
        </w:rPr>
        <w:t>深化能源体制机制改革，健全现代治理体系</w:t>
      </w:r>
      <w:bookmarkEnd w:id="120"/>
      <w:bookmarkEnd w:id="121"/>
      <w:bookmarkEnd w:id="122"/>
    </w:p>
    <w:p>
      <w:pPr>
        <w:pStyle w:val="22"/>
        <w:numPr>
          <w:ilvl w:val="0"/>
          <w:numId w:val="9"/>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23" w:name="_Toc24671"/>
      <w:bookmarkStart w:id="124" w:name="_Toc4029"/>
      <w:bookmarkStart w:id="125" w:name="_Toc611"/>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完善能源市场机制建设</w:t>
      </w:r>
      <w:bookmarkEnd w:id="123"/>
      <w:bookmarkEnd w:id="124"/>
      <w:bookmarkEnd w:id="12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2" w:firstLineChars="200"/>
        <w:textAlignment w:val="auto"/>
        <w:rPr>
          <w:rFonts w:hint="default" w:ascii="Times New Roman Regular" w:hAnsi="Times New Roman Regular" w:cs="Times New Roman Regular"/>
          <w:color w:val="auto"/>
          <w:highlight w:val="none"/>
          <w:lang w:val="en-US" w:eastAsia="zh-CN"/>
        </w:rPr>
      </w:pPr>
      <w:bookmarkStart w:id="126" w:name="_Toc5786"/>
      <w:r>
        <w:rPr>
          <w:rFonts w:hint="default" w:ascii="Times New Roman Regular" w:hAnsi="Times New Roman Regular" w:cs="Times New Roman Regular"/>
          <w:b/>
          <w:bCs/>
          <w:color w:val="auto"/>
          <w:highlight w:val="none"/>
          <w:lang w:val="en-US" w:eastAsia="zh-CN"/>
        </w:rPr>
        <w:t>落实</w:t>
      </w:r>
      <w:r>
        <w:rPr>
          <w:rFonts w:hint="eastAsia" w:ascii="Times New Roman Regular" w:hAnsi="Times New Roman Regular" w:cs="Times New Roman Regular"/>
          <w:b/>
          <w:bCs/>
          <w:color w:val="auto"/>
          <w:highlight w:val="none"/>
          <w:lang w:val="en-US" w:eastAsia="zh-CN"/>
        </w:rPr>
        <w:t>“</w:t>
      </w:r>
      <w:r>
        <w:rPr>
          <w:rFonts w:hint="default" w:ascii="Times New Roman Regular" w:hAnsi="Times New Roman Regular" w:cs="Times New Roman Regular"/>
          <w:b/>
          <w:bCs/>
          <w:color w:val="auto"/>
          <w:highlight w:val="none"/>
          <w:lang w:val="en-US" w:eastAsia="zh-CN"/>
        </w:rPr>
        <w:t>双碳</w:t>
      </w:r>
      <w:r>
        <w:rPr>
          <w:rFonts w:hint="eastAsia" w:ascii="Times New Roman Regular" w:hAnsi="Times New Roman Regular" w:cs="Times New Roman Regular"/>
          <w:b/>
          <w:bCs/>
          <w:color w:val="auto"/>
          <w:highlight w:val="none"/>
          <w:lang w:val="en-US" w:eastAsia="zh-CN"/>
        </w:rPr>
        <w:t>”</w:t>
      </w:r>
      <w:r>
        <w:rPr>
          <w:rFonts w:hint="default" w:ascii="Times New Roman Regular" w:hAnsi="Times New Roman Regular" w:cs="Times New Roman Regular"/>
          <w:b/>
          <w:bCs/>
          <w:color w:val="auto"/>
          <w:highlight w:val="none"/>
          <w:lang w:val="en-US" w:eastAsia="zh-CN"/>
        </w:rPr>
        <w:t>目标任务</w:t>
      </w:r>
      <w:bookmarkEnd w:id="126"/>
      <w:r>
        <w:rPr>
          <w:rFonts w:hint="eastAsia" w:ascii="Times New Roman Regular" w:hAnsi="Times New Roman Regular" w:cs="Times New Roman Regular"/>
          <w:b/>
          <w:bCs/>
          <w:color w:val="auto"/>
          <w:highlight w:val="none"/>
          <w:lang w:val="en-US" w:eastAsia="zh-CN"/>
        </w:rPr>
        <w:t>。</w:t>
      </w:r>
      <w:r>
        <w:rPr>
          <w:rFonts w:hint="default" w:ascii="Times New Roman Regular" w:hAnsi="Times New Roman Regular" w:cs="Times New Roman Regular"/>
          <w:color w:val="auto"/>
          <w:highlight w:val="none"/>
          <w:lang w:val="en-US" w:eastAsia="zh-CN"/>
        </w:rPr>
        <w:t>全面贯彻落实国家、省关于能源领域</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碳达峰、碳中和</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工作部署要求，处理好发展和减排、整体和局部、长远目标和短期目标的关系。在保障能源安全供应基础上，着力优化能源结构，减少能源产业碳足迹，加快转变用能方式，科学有序推进能源生产和消费绿色低碳转型。坚持市场主导，发挥政府在规划引导、政策支持、市场监管方面的作用，建立健全激励约束机制，将碳达峰、碳中和工作要求全面落实到全产业、全领域、全环节。</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bookmarkStart w:id="127" w:name="_Toc8369"/>
      <w:r>
        <w:rPr>
          <w:rFonts w:hint="default" w:ascii="Times New Roman Regular" w:hAnsi="Times New Roman Regular" w:cs="Times New Roman Regular"/>
          <w:b/>
          <w:bCs w:val="0"/>
          <w:color w:val="auto"/>
          <w:highlight w:val="none"/>
          <w:lang w:val="en-US" w:eastAsia="zh-CN"/>
        </w:rPr>
        <w:t>推进能源市场化改革</w:t>
      </w:r>
      <w:bookmarkEnd w:id="127"/>
      <w:r>
        <w:rPr>
          <w:rFonts w:hint="eastAsia" w:ascii="Times New Roman Regular" w:hAnsi="Times New Roman Regular" w:cs="Times New Roman Regular"/>
          <w:b/>
          <w:bCs w:val="0"/>
          <w:color w:val="auto"/>
          <w:highlight w:val="none"/>
          <w:lang w:val="en-US" w:eastAsia="zh-CN"/>
        </w:rPr>
        <w:t>。</w:t>
      </w:r>
      <w:r>
        <w:rPr>
          <w:rFonts w:hint="default" w:ascii="Times New Roman Regular" w:hAnsi="Times New Roman Regular" w:cs="Times New Roman Regular"/>
          <w:color w:val="auto"/>
          <w:highlight w:val="none"/>
          <w:lang w:val="en-US" w:eastAsia="zh-CN"/>
        </w:rPr>
        <w:t>积极贯彻落实建设全国统一大市场的工作要求，加快能源市场体系建设，支持各类市场主体依法平等进入负面清单以外的能源领域。落实推进能源竞争性环节市场化改革相关政策，实现上下游、产供销用有效衔接，促进相关产业门类关系协调。支持能源新产业、新模式、新业态创新发展，营造有利于商业模式创新的市场环境，壮大培育综合能源服务、储能、充电桩、虚拟电厂、负荷聚合商等新兴市场主体。</w:t>
      </w:r>
    </w:p>
    <w:p>
      <w:pPr>
        <w:pStyle w:val="22"/>
        <w:numPr>
          <w:ilvl w:val="0"/>
          <w:numId w:val="9"/>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28" w:name="_Toc25080"/>
      <w:bookmarkStart w:id="129" w:name="_Toc12179"/>
      <w:bookmarkStart w:id="130" w:name="_Toc25527"/>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提升能源普惠服务水平</w:t>
      </w:r>
      <w:bookmarkEnd w:id="128"/>
      <w:bookmarkEnd w:id="129"/>
      <w:bookmarkEnd w:id="130"/>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bookmarkStart w:id="131" w:name="_Toc22568"/>
      <w:r>
        <w:rPr>
          <w:rFonts w:hint="default" w:ascii="Times New Roman Regular" w:hAnsi="Times New Roman Regular" w:cs="Times New Roman Regular"/>
          <w:b/>
          <w:bCs w:val="0"/>
          <w:color w:val="auto"/>
          <w:highlight w:val="none"/>
          <w:lang w:val="en-US" w:eastAsia="zh-CN"/>
        </w:rPr>
        <w:t>优化用能营商环境</w:t>
      </w:r>
      <w:bookmarkEnd w:id="131"/>
      <w:r>
        <w:rPr>
          <w:rFonts w:hint="eastAsia" w:ascii="Times New Roman Regular" w:hAnsi="Times New Roman Regular" w:cs="Times New Roman Regular"/>
          <w:b/>
          <w:bCs w:val="0"/>
          <w:color w:val="auto"/>
          <w:highlight w:val="none"/>
          <w:lang w:val="en-US" w:eastAsia="zh-CN"/>
        </w:rPr>
        <w:t>。</w:t>
      </w:r>
      <w:r>
        <w:rPr>
          <w:rFonts w:hint="default" w:ascii="Times New Roman Regular" w:hAnsi="Times New Roman Regular" w:cs="Times New Roman Regular"/>
          <w:color w:val="auto"/>
          <w:highlight w:val="none"/>
          <w:lang w:val="en-US" w:eastAsia="zh-CN"/>
        </w:rPr>
        <w:t>对标国内省内一流营商环境，推广低压用户用电报装</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零上门、零审批、零投资</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服务、高压用户用电报装</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省力、省时、省钱</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服务。统一标准流程、共享平台、评价体系、督查考核，优化办电流程、压减办电时间、降低办电用电成本、提升服务能力，推动鄂州市</w:t>
      </w:r>
      <w:r>
        <w:rPr>
          <w:rFonts w:hint="eastAsia" w:ascii="Times New Roman Regular" w:hAnsi="Times New Roman Regular" w:cs="Times New Roman Regular"/>
          <w:color w:val="auto"/>
          <w:highlight w:val="none"/>
          <w:lang w:val="en-US" w:eastAsia="zh-CN"/>
        </w:rPr>
        <w:t>建成现代化用电营商环境先进地区</w:t>
      </w:r>
      <w:r>
        <w:rPr>
          <w:rFonts w:hint="default" w:ascii="Times New Roman Regular" w:hAnsi="Times New Roman Regular" w:cs="Times New Roman Regular"/>
          <w:color w:val="auto"/>
          <w:highlight w:val="none"/>
          <w:lang w:val="en-US" w:eastAsia="zh-CN"/>
        </w:rPr>
        <w:t>。精简用气报装材料，压缩办理环节，优化审批流程，实现</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不见面</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报装服务。</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color w:val="auto"/>
          <w:highlight w:val="none"/>
        </w:rPr>
      </w:pPr>
      <w:r>
        <w:rPr>
          <w:rFonts w:hint="eastAsia"/>
          <w:b/>
          <w:bCs/>
          <w:color w:val="auto"/>
          <w:highlight w:val="none"/>
        </w:rPr>
        <w:t>推动用能成本降低。</w:t>
      </w:r>
      <w:r>
        <w:rPr>
          <w:color w:val="auto"/>
          <w:highlight w:val="none"/>
        </w:rPr>
        <w:t>通过新技术、新材料和智慧化运营管理，提高系统能效，降低投资、运营成本</w:t>
      </w:r>
      <w:r>
        <w:rPr>
          <w:rFonts w:hint="eastAsia"/>
          <w:color w:val="auto"/>
          <w:highlight w:val="none"/>
        </w:rPr>
        <w:t>。充分发挥市场在资源配置中的决定性作用，落实国家和省级油品、天然气、电力市场化改革机制，鼓励企业积极参与能源市场建设。</w:t>
      </w:r>
      <w:r>
        <w:rPr>
          <w:rFonts w:hint="eastAsia"/>
          <w:color w:val="auto"/>
          <w:highlight w:val="none"/>
          <w:lang w:val="en-US" w:eastAsia="zh-CN"/>
        </w:rPr>
        <w:t>引导已参与电力市场交易的工商业用户根据市场化价格信号主动优化用电负荷曲线，</w:t>
      </w:r>
      <w:r>
        <w:rPr>
          <w:rFonts w:hint="eastAsia"/>
          <w:color w:val="auto"/>
          <w:highlight w:val="none"/>
        </w:rPr>
        <w:t>着力</w:t>
      </w:r>
      <w:r>
        <w:rPr>
          <w:color w:val="auto"/>
          <w:highlight w:val="none"/>
        </w:rPr>
        <w:t>降低能源终端售价，让人民群众享受到成本更低廉的用能服务。</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eastAsia" w:ascii="Times New Roman" w:hAnsi="Times New Roman" w:eastAsia="仿宋_GB2312" w:cs="Arial"/>
          <w:bCs w:val="0"/>
          <w:i w:val="0"/>
          <w:iCs w:val="0"/>
          <w:caps w:val="0"/>
          <w:color w:val="auto"/>
          <w:spacing w:val="0"/>
          <w:sz w:val="32"/>
          <w:szCs w:val="23"/>
          <w:highlight w:val="none"/>
          <w:shd w:val="clear" w:fill="FFFFFF"/>
          <w:lang w:val="en-US" w:eastAsia="zh-CN"/>
        </w:rPr>
      </w:pPr>
      <w:r>
        <w:rPr>
          <w:rFonts w:hint="eastAsia"/>
          <w:b/>
          <w:bCs w:val="0"/>
          <w:color w:val="auto"/>
          <w:highlight w:val="none"/>
          <w:lang w:val="en-US" w:eastAsia="zh-CN"/>
        </w:rPr>
        <w:t>强化民生用能保障。</w:t>
      </w:r>
      <w:r>
        <w:rPr>
          <w:rFonts w:hint="eastAsia" w:ascii="Times New Roman" w:hAnsi="Times New Roman"/>
          <w:b w:val="0"/>
          <w:bCs w:val="0"/>
          <w:color w:val="auto"/>
          <w:highlight w:val="none"/>
          <w:lang w:val="en-US" w:eastAsia="zh-CN"/>
        </w:rPr>
        <w:t>系统推进城镇能源设施升级，全面完成存量非电网直供电小区整治清零，有序实施高层住宅双电源改造，将供配电更新、老旧燃气管网修缮纳入老旧小区基础改造范畴。健全住宅供电配套制度体系，建立新建住宅项目联审联验机制，落实新建小区充电基础设施100%配建或预留到位要求，切实做好居民生活、公共服务和重要用能保障。实施农村电网、气网巩固提升工程，统筹布局农村充电基础设施，服务新能源汽车下乡，持续缩小城乡用能保障差距</w:t>
      </w:r>
      <w:r>
        <w:rPr>
          <w:rFonts w:hint="eastAsia" w:ascii="Times New Roman" w:hAnsi="Times New Roman" w:cs="仿宋_GB2312"/>
          <w:b w:val="0"/>
          <w:bCs w:val="0"/>
          <w:color w:val="auto"/>
          <w:sz w:val="32"/>
          <w:szCs w:val="32"/>
          <w:highlight w:val="none"/>
          <w:lang w:val="en-US" w:eastAsia="zh-CN"/>
        </w:rPr>
        <w:t>。</w:t>
      </w:r>
    </w:p>
    <w:p>
      <w:pPr>
        <w:pStyle w:val="22"/>
        <w:numPr>
          <w:ilvl w:val="0"/>
          <w:numId w:val="9"/>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32" w:name="_Toc1404"/>
      <w:bookmarkStart w:id="133" w:name="_Toc32711"/>
      <w:bookmarkStart w:id="134" w:name="_Toc19604"/>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提升能源监督管理水平</w:t>
      </w:r>
      <w:bookmarkEnd w:id="132"/>
      <w:bookmarkEnd w:id="133"/>
      <w:bookmarkEnd w:id="134"/>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rPr>
      </w:pPr>
      <w:bookmarkStart w:id="135" w:name="_Toc14337"/>
      <w:r>
        <w:rPr>
          <w:rFonts w:hint="default" w:ascii="Times New Roman Regular" w:hAnsi="Times New Roman Regular" w:cs="Times New Roman Regular"/>
          <w:b/>
          <w:bCs/>
          <w:color w:val="auto"/>
          <w:highlight w:val="none"/>
        </w:rPr>
        <w:t>压实能源安全生产责任。</w:t>
      </w:r>
      <w:r>
        <w:rPr>
          <w:rFonts w:hint="default" w:ascii="Times New Roman Regular" w:hAnsi="Times New Roman Regular" w:cs="Times New Roman Regular"/>
          <w:color w:val="auto"/>
          <w:highlight w:val="none"/>
        </w:rPr>
        <w:t>牢固树立</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人民至上、生命至上</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理念，坚决贯彻习近平总书记关于安全生产工作的重要指示精神，按照党政同责、</w:t>
      </w:r>
      <w:r>
        <w:rPr>
          <w:rFonts w:hint="eastAsia" w:ascii="Times New Roman Regular" w:hAnsi="Times New Roman Regular" w:cs="Times New Roman Regular"/>
          <w:color w:val="auto"/>
          <w:highlight w:val="none"/>
          <w:lang w:eastAsia="zh-CN"/>
        </w:rPr>
        <w:t>“一岗双责”</w:t>
      </w:r>
      <w:r>
        <w:rPr>
          <w:rFonts w:hint="default" w:ascii="Times New Roman Regular" w:hAnsi="Times New Roman Regular" w:cs="Times New Roman Regular"/>
          <w:color w:val="auto"/>
          <w:highlight w:val="none"/>
        </w:rPr>
        <w:t>、齐抓共管、失职追责和三个必须要求，层层压实责任。在能源规划、项目审批、建设运行等环节强化安全风险防控。督促能源企业要切实担负安全生产主体责任，加大安全生产资金投入，落实安全生产风险分级管控制度。</w:t>
      </w:r>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rPr>
        <w:t>维护能源基础设施安全。</w:t>
      </w:r>
      <w:r>
        <w:rPr>
          <w:rFonts w:hint="default" w:ascii="Times New Roman Regular" w:hAnsi="Times New Roman Regular" w:cs="Times New Roman Regular"/>
          <w:color w:val="auto"/>
          <w:highlight w:val="none"/>
        </w:rPr>
        <w:t>督促各能源企业加强重要能源基础设施巡检维护，忠武线武黄支线</w:t>
      </w:r>
      <w:r>
        <w:rPr>
          <w:rFonts w:hint="eastAsia" w:ascii="Times New Roman Regular" w:hAnsi="Times New Roman Regular" w:cs="Times New Roman Regular"/>
          <w:color w:val="auto"/>
          <w:highlight w:val="none"/>
          <w:lang w:eastAsia="zh-CN"/>
        </w:rPr>
        <w:t>、仪长线大武支线</w:t>
      </w:r>
      <w:r>
        <w:rPr>
          <w:rFonts w:hint="eastAsia" w:ascii="Times New Roman Regular" w:hAnsi="Times New Roman Regular" w:cs="Times New Roman Regular"/>
          <w:color w:val="auto"/>
          <w:highlight w:val="none"/>
          <w:lang w:val="en-US" w:eastAsia="zh-CN"/>
        </w:rPr>
        <w:t>等</w:t>
      </w:r>
      <w:r>
        <w:rPr>
          <w:rFonts w:hint="default" w:ascii="Times New Roman Regular" w:hAnsi="Times New Roman Regular" w:cs="Times New Roman Regular"/>
          <w:color w:val="auto"/>
          <w:highlight w:val="none"/>
        </w:rPr>
        <w:t>重点确保油气管网、500千伏吴都枢纽变电站、</w:t>
      </w:r>
      <w:r>
        <w:rPr>
          <w:rFonts w:hint="eastAsia" w:ascii="Times New Roman Regular" w:hAnsi="Times New Roman Regular" w:cs="Times New Roman Regular"/>
          <w:color w:val="auto"/>
          <w:highlight w:val="none"/>
          <w:lang w:val="en-US" w:eastAsia="zh-CN"/>
        </w:rPr>
        <w:t>鄂州电厂</w:t>
      </w:r>
      <w:r>
        <w:rPr>
          <w:rFonts w:hint="default" w:ascii="Times New Roman Regular" w:hAnsi="Times New Roman Regular" w:cs="Times New Roman Regular"/>
          <w:color w:val="auto"/>
          <w:highlight w:val="none"/>
        </w:rPr>
        <w:t>等设施安全</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强化预报预警，提高能源基础设施抵御地质灾害、气象灾害等自然灾害能力。推进油气管道完整性管理，加强高后果区管控。加强储能电站安全管理，加强组件和系统运行状态在线监测，有效提升安全运行水平，强化消防安全管理。</w:t>
      </w:r>
    </w:p>
    <w:p>
      <w:pPr>
        <w:pStyle w:val="22"/>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val="0"/>
          <w:color w:val="auto"/>
          <w:highlight w:val="none"/>
          <w:lang w:val="en-US" w:eastAsia="zh-CN"/>
        </w:rPr>
        <w:t>加强能源行业监管</w:t>
      </w:r>
      <w:bookmarkEnd w:id="135"/>
      <w:r>
        <w:rPr>
          <w:rFonts w:hint="eastAsia" w:ascii="Times New Roman Regular" w:hAnsi="Times New Roman Regular" w:cs="Times New Roman Regular"/>
          <w:b/>
          <w:bCs w:val="0"/>
          <w:color w:val="auto"/>
          <w:highlight w:val="none"/>
          <w:lang w:val="en-US" w:eastAsia="zh-CN"/>
        </w:rPr>
        <w:t>。</w:t>
      </w:r>
      <w:r>
        <w:rPr>
          <w:rFonts w:hint="default" w:ascii="Times New Roman Regular" w:hAnsi="Times New Roman Regular" w:cs="Times New Roman Regular"/>
          <w:color w:val="auto"/>
          <w:highlight w:val="none"/>
          <w:lang w:val="en-US" w:eastAsia="zh-CN"/>
        </w:rPr>
        <w:t>围绕能源安全，市场秩序、行业发展，民生保障等方面，进一步健全完善能源监管工作机制，提高能源治理效能。创新能源监管方式，运用云计算、大数据、</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互联网+</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等方式，推进能源监测监控体系建设，提高能源运行调控能力和监管水平。健全能源市场监管体制，加大安全生产、普遍服务、电力营商环境等方面监管力度。</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2"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b/>
          <w:bCs/>
          <w:color w:val="auto"/>
          <w:highlight w:val="none"/>
        </w:rPr>
        <w:t>提升突发事件应对能力。</w:t>
      </w:r>
      <w:r>
        <w:rPr>
          <w:rFonts w:hint="default" w:ascii="Times New Roman Regular" w:hAnsi="Times New Roman Regular" w:cs="Times New Roman Regular"/>
          <w:color w:val="auto"/>
          <w:highlight w:val="none"/>
        </w:rPr>
        <w:t>完善能源安全和应急制度，全面提升</w:t>
      </w:r>
      <w:r>
        <w:rPr>
          <w:rFonts w:hint="default" w:ascii="Times New Roman Regular" w:hAnsi="Times New Roman Regular" w:cs="Times New Roman Regular"/>
          <w:color w:val="auto"/>
          <w:highlight w:val="none"/>
          <w:lang w:val="en-US" w:eastAsia="zh-CN"/>
        </w:rPr>
        <w:t>鄂州</w:t>
      </w:r>
      <w:r>
        <w:rPr>
          <w:rFonts w:hint="default" w:ascii="Times New Roman Regular" w:hAnsi="Times New Roman Regular" w:cs="Times New Roman Regular"/>
          <w:color w:val="auto"/>
          <w:highlight w:val="none"/>
        </w:rPr>
        <w:t>市能源安全保障能力。稳定能源供应保障，强化煤电气供需预测预警、运行调度。按照政府储备与企业储备相结合、储备与产供储销体系相衔接的原则，建立天然气、煤炭等能源安全储备体系。提升应急处置能力，完善电力和油气长输管网应急预案，加强应急救援队伍建设，</w:t>
      </w:r>
      <w:r>
        <w:rPr>
          <w:rFonts w:hint="eastAsia" w:ascii="Times New Roman Regular" w:hAnsi="Times New Roman Regular" w:cs="Times New Roman Regular"/>
          <w:color w:val="auto"/>
          <w:highlight w:val="none"/>
          <w:lang w:eastAsia="zh-CN"/>
        </w:rPr>
        <w:t>强化</w:t>
      </w:r>
      <w:r>
        <w:rPr>
          <w:rFonts w:hint="default" w:ascii="Times New Roman Regular" w:hAnsi="Times New Roman Regular" w:cs="Times New Roman Regular"/>
          <w:color w:val="auto"/>
          <w:highlight w:val="none"/>
        </w:rPr>
        <w:t>应急物资储备，开展安全生产和应急演练，提高快速响应和处置能力。</w:t>
      </w:r>
    </w:p>
    <w:p>
      <w:pPr>
        <w:pStyle w:val="22"/>
        <w:numPr>
          <w:ilvl w:val="0"/>
          <w:numId w:val="2"/>
        </w:numPr>
        <w:autoSpaceDE/>
        <w:autoSpaceDN/>
        <w:spacing w:line="560" w:lineRule="exact"/>
        <w:ind w:firstLine="640" w:firstLineChars="200"/>
        <w:outlineLvl w:val="0"/>
        <w:rPr>
          <w:rFonts w:hint="eastAsia" w:ascii="黑体" w:hAnsi="黑体" w:eastAsia="黑体" w:cs="黑体"/>
          <w:i w:val="0"/>
          <w:iCs w:val="0"/>
          <w:caps w:val="0"/>
          <w:color w:val="auto"/>
          <w:spacing w:val="0"/>
          <w:sz w:val="32"/>
          <w:szCs w:val="23"/>
          <w:highlight w:val="none"/>
          <w:shd w:val="clear" w:fill="FFFFFF"/>
          <w:lang w:val="en-US" w:eastAsia="zh-CN"/>
        </w:rPr>
      </w:pPr>
      <w:bookmarkStart w:id="136" w:name="_Toc3526"/>
      <w:bookmarkStart w:id="137" w:name="_Toc27090"/>
      <w:bookmarkStart w:id="138" w:name="_Toc30203"/>
      <w:r>
        <w:rPr>
          <w:rFonts w:hint="eastAsia" w:ascii="黑体" w:hAnsi="黑体" w:eastAsia="黑体" w:cs="黑体"/>
          <w:i w:val="0"/>
          <w:iCs w:val="0"/>
          <w:caps w:val="0"/>
          <w:color w:val="auto"/>
          <w:spacing w:val="0"/>
          <w:sz w:val="32"/>
          <w:szCs w:val="23"/>
          <w:highlight w:val="none"/>
          <w:shd w:val="clear" w:fill="FFFFFF"/>
          <w:lang w:val="en-US" w:eastAsia="zh-CN"/>
        </w:rPr>
        <w:t>保障措施</w:t>
      </w:r>
      <w:bookmarkEnd w:id="136"/>
      <w:bookmarkEnd w:id="137"/>
      <w:bookmarkEnd w:id="138"/>
    </w:p>
    <w:p>
      <w:pPr>
        <w:pStyle w:val="22"/>
        <w:numPr>
          <w:ilvl w:val="0"/>
          <w:numId w:val="10"/>
        </w:numPr>
        <w:autoSpaceDE/>
        <w:autoSpaceDN/>
        <w:spacing w:line="560" w:lineRule="exact"/>
        <w:ind w:left="0" w:firstLine="640" w:firstLineChars="200"/>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39" w:name="_Toc18969"/>
      <w:bookmarkStart w:id="140" w:name="_Toc22808"/>
      <w:bookmarkStart w:id="141" w:name="_Toc22469"/>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加强组织实施</w:t>
      </w:r>
      <w:bookmarkEnd w:id="139"/>
      <w:bookmarkEnd w:id="140"/>
      <w:bookmarkEnd w:id="141"/>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szCs w:val="32"/>
          <w:highlight w:val="none"/>
        </w:rPr>
      </w:pPr>
      <w:r>
        <w:rPr>
          <w:rFonts w:hint="default" w:ascii="Times New Roman Regular" w:hAnsi="Times New Roman Regular" w:cs="Times New Roman Regular"/>
          <w:color w:val="auto"/>
          <w:highlight w:val="none"/>
        </w:rPr>
        <w:t>加强能源规划与</w:t>
      </w:r>
      <w:r>
        <w:rPr>
          <w:rFonts w:hint="default" w:ascii="Times New Roman Regular" w:hAnsi="Times New Roman Regular" w:cs="Times New Roman Regular"/>
          <w:color w:val="auto"/>
          <w:highlight w:val="none"/>
          <w:lang w:val="en-US" w:eastAsia="zh-CN"/>
        </w:rPr>
        <w:t>鄂州市</w:t>
      </w:r>
      <w:r>
        <w:rPr>
          <w:rFonts w:hint="default" w:ascii="Times New Roman Regular" w:hAnsi="Times New Roman Regular" w:cs="Times New Roman Regular"/>
          <w:color w:val="auto"/>
          <w:highlight w:val="none"/>
        </w:rPr>
        <w:t>经济社会发展及其他规划的衔接，统筹</w:t>
      </w:r>
      <w:r>
        <w:rPr>
          <w:rFonts w:hint="default" w:ascii="Times New Roman Regular" w:hAnsi="Times New Roman Regular" w:cs="Times New Roman Regular"/>
          <w:color w:val="auto"/>
          <w:highlight w:val="none"/>
          <w:lang w:val="en-US" w:eastAsia="zh-CN"/>
        </w:rPr>
        <w:t>协调</w:t>
      </w:r>
      <w:r>
        <w:rPr>
          <w:rFonts w:hint="eastAsia" w:ascii="Times New Roman Regular" w:hAnsi="Times New Roman Regular" w:cs="Times New Roman Regular"/>
          <w:color w:val="auto"/>
          <w:highlight w:val="none"/>
          <w:lang w:val="en-US" w:eastAsia="zh-CN"/>
        </w:rPr>
        <w:t>国土空间</w:t>
      </w:r>
      <w:r>
        <w:rPr>
          <w:rFonts w:hint="default" w:ascii="Times New Roman Regular" w:hAnsi="Times New Roman Regular" w:cs="Times New Roman Regular"/>
          <w:color w:val="auto"/>
          <w:highlight w:val="none"/>
        </w:rPr>
        <w:t>与能源开发布局</w:t>
      </w:r>
      <w:r>
        <w:rPr>
          <w:rFonts w:hint="default" w:ascii="Times New Roman Regular" w:hAnsi="Times New Roman Regular" w:cs="Times New Roman Regular"/>
          <w:color w:val="auto"/>
          <w:highlight w:val="none"/>
          <w:lang w:val="en-US" w:eastAsia="zh-CN"/>
        </w:rPr>
        <w:t>的关系</w:t>
      </w:r>
      <w:r>
        <w:rPr>
          <w:rFonts w:hint="default" w:ascii="Times New Roman Regular" w:hAnsi="Times New Roman Regular" w:cs="Times New Roman Regular"/>
          <w:color w:val="auto"/>
          <w:highlight w:val="none"/>
        </w:rPr>
        <w:t>，切实发挥能源规划对全市能源发展、重大项目布局、公共资源配置、社会资本投向的战略导向作用</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完善规划引导约束机制</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建立规划推进实施机制，形成发改牵头、相关部门配合</w:t>
      </w:r>
      <w:r>
        <w:rPr>
          <w:rFonts w:hint="default" w:ascii="Times New Roman Regular" w:hAnsi="Times New Roman Regular" w:cs="Times New Roman Regular"/>
          <w:color w:val="auto"/>
          <w:highlight w:val="none"/>
          <w:lang w:val="en-US" w:eastAsia="zh-CN"/>
        </w:rPr>
        <w:t>推进</w:t>
      </w:r>
      <w:r>
        <w:rPr>
          <w:rFonts w:hint="default" w:ascii="Times New Roman Regular" w:hAnsi="Times New Roman Regular" w:cs="Times New Roman Regular"/>
          <w:color w:val="auto"/>
          <w:highlight w:val="none"/>
        </w:rPr>
        <w:t>、企业</w:t>
      </w:r>
      <w:r>
        <w:rPr>
          <w:rFonts w:hint="default" w:ascii="Times New Roman Regular" w:hAnsi="Times New Roman Regular" w:cs="Times New Roman Regular"/>
          <w:color w:val="auto"/>
          <w:highlight w:val="none"/>
          <w:lang w:val="en-US" w:eastAsia="zh-CN"/>
        </w:rPr>
        <w:t>响应</w:t>
      </w:r>
      <w:r>
        <w:rPr>
          <w:rFonts w:hint="default" w:ascii="Times New Roman Regular" w:hAnsi="Times New Roman Regular" w:cs="Times New Roman Regular"/>
          <w:color w:val="auto"/>
          <w:highlight w:val="none"/>
        </w:rPr>
        <w:t>的工作机制，确保规划落地</w:t>
      </w:r>
      <w:r>
        <w:rPr>
          <w:rFonts w:hint="default" w:ascii="Times New Roman Regular" w:hAnsi="Times New Roman Regular" w:cs="Times New Roman Regular"/>
          <w:color w:val="auto"/>
          <w:highlight w:val="none"/>
          <w:lang w:val="en-US" w:eastAsia="zh-CN"/>
        </w:rPr>
        <w:t>落实</w:t>
      </w:r>
      <w:r>
        <w:rPr>
          <w:rFonts w:hint="default" w:ascii="Times New Roman Regular" w:hAnsi="Times New Roman Regular" w:cs="Times New Roman Regular"/>
          <w:color w:val="auto"/>
          <w:szCs w:val="32"/>
          <w:highlight w:val="none"/>
        </w:rPr>
        <w:t>。</w:t>
      </w:r>
    </w:p>
    <w:p>
      <w:pPr>
        <w:pStyle w:val="22"/>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left="0" w:firstLine="640" w:firstLineChars="200"/>
        <w:textAlignment w:val="baseline"/>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42" w:name="_Toc28353"/>
      <w:bookmarkStart w:id="143" w:name="_Toc2902"/>
      <w:bookmarkStart w:id="144" w:name="_Toc10686"/>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强化规划引领</w:t>
      </w:r>
      <w:bookmarkEnd w:id="142"/>
      <w:bookmarkEnd w:id="143"/>
      <w:bookmarkEnd w:id="144"/>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rPr>
      </w:pPr>
      <w:r>
        <w:rPr>
          <w:rFonts w:hint="default" w:ascii="Times New Roman Regular" w:hAnsi="Times New Roman Regular" w:cs="Times New Roman Regular"/>
          <w:color w:val="auto"/>
          <w:highlight w:val="none"/>
        </w:rPr>
        <w:t>严格落实《能源规划管理办法》，强化能源规划与</w:t>
      </w:r>
      <w:r>
        <w:rPr>
          <w:rFonts w:hint="eastAsia" w:ascii="Times New Roman Regular" w:hAnsi="Times New Roman Regular" w:cs="Times New Roman Regular"/>
          <w:color w:val="auto"/>
          <w:highlight w:val="none"/>
          <w:lang w:eastAsia="zh-CN"/>
        </w:rPr>
        <w:t>国土空间规划“一张图”</w:t>
      </w:r>
      <w:r>
        <w:rPr>
          <w:rFonts w:hint="default" w:ascii="Times New Roman Regular" w:hAnsi="Times New Roman Regular" w:cs="Times New Roman Regular"/>
          <w:color w:val="auto"/>
          <w:highlight w:val="none"/>
        </w:rPr>
        <w:t>管理，确保重大能源项目在</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三区三线</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划定成果中精准落地，建立项目的用地用林联审机制。加强对本规划实施情况的监督管理、监测预警和跟踪分析，及时掌握发展动态，适时对规划实施情况进行评估。完善规划动态调整机制，切实增强规划实施效果。建立健全能源产业统计指标体系、监测体系和评价制度，建立清洁能源产业发展督查考核机制，保障各项工作高效落实。</w:t>
      </w:r>
    </w:p>
    <w:p>
      <w:pPr>
        <w:pStyle w:val="22"/>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left="0" w:firstLine="640" w:firstLineChars="200"/>
        <w:textAlignment w:val="baseline"/>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45" w:name="_Toc19716"/>
      <w:bookmarkStart w:id="146" w:name="_Toc18364"/>
      <w:bookmarkStart w:id="147" w:name="_Toc5418"/>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完善政策体系</w:t>
      </w:r>
      <w:bookmarkEnd w:id="145"/>
      <w:bookmarkEnd w:id="146"/>
      <w:bookmarkEnd w:id="147"/>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rPr>
      </w:pPr>
      <w:r>
        <w:rPr>
          <w:rFonts w:hint="default" w:ascii="Times New Roman Regular" w:hAnsi="Times New Roman Regular" w:cs="Times New Roman Regular"/>
          <w:color w:val="auto"/>
          <w:highlight w:val="none"/>
          <w:lang w:val="en-US" w:eastAsia="zh-CN"/>
        </w:rPr>
        <w:t>完善清洁能源发展相关土地、财政、金融、技术、人才等政策</w:t>
      </w:r>
      <w:r>
        <w:rPr>
          <w:rFonts w:hint="default" w:ascii="Times New Roman Regular" w:hAnsi="Times New Roman Regular" w:cs="Times New Roman Regular"/>
          <w:color w:val="auto"/>
          <w:highlight w:val="none"/>
        </w:rPr>
        <w:t>。优先保障清洁能源项目用地需要</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加大财政资金对清洁能源重点项目、</w:t>
      </w:r>
      <w:r>
        <w:rPr>
          <w:rFonts w:hint="default" w:ascii="Times New Roman Regular" w:hAnsi="Times New Roman Regular" w:cs="Times New Roman Regular"/>
          <w:color w:val="auto"/>
          <w:highlight w:val="none"/>
          <w:lang w:val="en-US" w:eastAsia="zh-CN"/>
        </w:rPr>
        <w:t>示范项目的</w:t>
      </w:r>
      <w:r>
        <w:rPr>
          <w:rFonts w:hint="default" w:ascii="Times New Roman Regular" w:hAnsi="Times New Roman Regular" w:cs="Times New Roman Regular"/>
          <w:color w:val="auto"/>
          <w:highlight w:val="none"/>
        </w:rPr>
        <w:t>支持力度</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发挥价格、金融对能源产业发展的激励和导向作用</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鼓励社会资本投资清洁能源产业</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lang w:val="en-US" w:eastAsia="zh-CN"/>
        </w:rPr>
        <w:t>推进关键技术突破</w:t>
      </w:r>
      <w:r>
        <w:rPr>
          <w:rFonts w:hint="default" w:ascii="Times New Roman Regular" w:hAnsi="Times New Roman Regular" w:cs="Times New Roman Regular"/>
          <w:color w:val="auto"/>
          <w:highlight w:val="none"/>
        </w:rPr>
        <w:t>，加强人才科技支撑。优化营商环境，深化</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放管服</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改革，打造服务最优、效率最高、成本最低的政务服务体系。</w:t>
      </w:r>
    </w:p>
    <w:p>
      <w:pPr>
        <w:pStyle w:val="22"/>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left="0" w:firstLine="640" w:firstLineChars="200"/>
        <w:textAlignment w:val="baseline"/>
        <w:outlineLvl w:val="1"/>
        <w:rPr>
          <w:rFonts w:hint="eastAsia" w:ascii="楷体_GB2312" w:hAnsi="楷体_GB2312" w:eastAsia="楷体_GB2312" w:cs="楷体_GB2312"/>
          <w:i w:val="0"/>
          <w:iCs w:val="0"/>
          <w:caps w:val="0"/>
          <w:color w:val="auto"/>
          <w:spacing w:val="0"/>
          <w:sz w:val="32"/>
          <w:szCs w:val="23"/>
          <w:highlight w:val="none"/>
          <w:shd w:val="clear" w:fill="FFFFFF"/>
          <w:lang w:val="en-US" w:eastAsia="zh-CN"/>
        </w:rPr>
      </w:pPr>
      <w:bookmarkStart w:id="148" w:name="_Toc6973"/>
      <w:bookmarkStart w:id="149" w:name="_Toc24995"/>
      <w:bookmarkStart w:id="150" w:name="_Toc32073"/>
      <w:r>
        <w:rPr>
          <w:rFonts w:hint="eastAsia" w:ascii="楷体_GB2312" w:hAnsi="楷体_GB2312" w:eastAsia="楷体_GB2312" w:cs="楷体_GB2312"/>
          <w:i w:val="0"/>
          <w:iCs w:val="0"/>
          <w:caps w:val="0"/>
          <w:color w:val="auto"/>
          <w:spacing w:val="0"/>
          <w:sz w:val="32"/>
          <w:szCs w:val="23"/>
          <w:highlight w:val="none"/>
          <w:shd w:val="clear" w:fill="FFFFFF"/>
          <w:lang w:val="en-US" w:eastAsia="zh-CN"/>
        </w:rPr>
        <w:t>强化项目推进</w:t>
      </w:r>
      <w:bookmarkEnd w:id="148"/>
      <w:bookmarkEnd w:id="149"/>
      <w:bookmarkEnd w:id="150"/>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rPr>
      </w:pPr>
      <w:r>
        <w:rPr>
          <w:rFonts w:hint="default" w:ascii="Times New Roman Regular" w:hAnsi="Times New Roman Regular" w:cs="Times New Roman Regular"/>
          <w:color w:val="auto"/>
          <w:highlight w:val="none"/>
        </w:rPr>
        <w:t>建立产业发展指导协调推进体系，形成全</w:t>
      </w:r>
      <w:r>
        <w:rPr>
          <w:rFonts w:hint="default" w:ascii="Times New Roman Regular" w:hAnsi="Times New Roman Regular" w:cs="Times New Roman Regular"/>
          <w:color w:val="auto"/>
          <w:highlight w:val="none"/>
          <w:lang w:val="en-US" w:eastAsia="zh-CN"/>
        </w:rPr>
        <w:t>市</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一盘棋</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的高效运行机制。完善重大项目多层次协调推进工作机制，对能源重点项目，按照</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lang w:val="en-US" w:eastAsia="zh-CN"/>
        </w:rPr>
        <w:t>市</w:t>
      </w:r>
      <w:r>
        <w:rPr>
          <w:rFonts w:hint="default" w:ascii="Times New Roman Regular" w:hAnsi="Times New Roman Regular" w:cs="Times New Roman Regular"/>
          <w:color w:val="auto"/>
          <w:highlight w:val="none"/>
        </w:rPr>
        <w:t>直部门协调指导、属地</w:t>
      </w:r>
      <w:r>
        <w:rPr>
          <w:rFonts w:hint="default" w:ascii="Times New Roman Regular" w:hAnsi="Times New Roman Regular" w:cs="Times New Roman Regular"/>
          <w:color w:val="auto"/>
          <w:highlight w:val="none"/>
          <w:lang w:val="en-US" w:eastAsia="zh-CN"/>
        </w:rPr>
        <w:t>区</w:t>
      </w:r>
      <w:r>
        <w:rPr>
          <w:rFonts w:hint="default" w:ascii="Times New Roman Regular" w:hAnsi="Times New Roman Regular" w:cs="Times New Roman Regular"/>
          <w:color w:val="auto"/>
          <w:highlight w:val="none"/>
        </w:rPr>
        <w:t>政府推进落实</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的原则，建立项目推进工作台账，强化项目实施调度管理，加快项目建设进度</w:t>
      </w:r>
      <w:r>
        <w:rPr>
          <w:rFonts w:hint="default"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建立项目审批</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绿色通道</w:t>
      </w:r>
      <w:r>
        <w:rPr>
          <w:rFonts w:hint="eastAsia" w:ascii="Times New Roman Regular" w:hAnsi="Times New Roman Regular" w:cs="Times New Roman Regular"/>
          <w:color w:val="auto"/>
          <w:highlight w:val="none"/>
          <w:lang w:eastAsia="zh-CN"/>
        </w:rPr>
        <w:t>”</w:t>
      </w:r>
      <w:r>
        <w:rPr>
          <w:rFonts w:hint="default" w:ascii="Times New Roman Regular" w:hAnsi="Times New Roman Regular" w:cs="Times New Roman Regular"/>
          <w:color w:val="auto"/>
          <w:highlight w:val="none"/>
        </w:rPr>
        <w:t>，实施审批承诺制，条件成熟一个核准（备案）一个，做实项目前期工作，促进项目尽早落地见效，加大项目储备谋划力度，实现接续发展。</w:t>
      </w:r>
    </w:p>
    <w:p>
      <w:pPr>
        <w:pStyle w:val="22"/>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0" w:firstLineChars="200"/>
        <w:textAlignment w:val="baseline"/>
        <w:outlineLvl w:val="0"/>
        <w:rPr>
          <w:rFonts w:hint="eastAsia" w:ascii="黑体" w:hAnsi="黑体" w:eastAsia="黑体" w:cs="黑体"/>
          <w:i w:val="0"/>
          <w:iCs w:val="0"/>
          <w:caps w:val="0"/>
          <w:color w:val="auto"/>
          <w:spacing w:val="0"/>
          <w:sz w:val="32"/>
          <w:szCs w:val="23"/>
          <w:highlight w:val="none"/>
          <w:shd w:val="clear" w:fill="FFFFFF"/>
          <w:lang w:val="en-US" w:eastAsia="zh-CN"/>
        </w:rPr>
      </w:pPr>
      <w:bookmarkStart w:id="151" w:name="_Toc30806"/>
      <w:bookmarkStart w:id="152" w:name="_Toc11576"/>
      <w:bookmarkStart w:id="153" w:name="_Toc20142"/>
      <w:r>
        <w:rPr>
          <w:rFonts w:hint="eastAsia" w:ascii="黑体" w:hAnsi="黑体" w:eastAsia="黑体" w:cs="黑体"/>
          <w:i w:val="0"/>
          <w:iCs w:val="0"/>
          <w:caps w:val="0"/>
          <w:color w:val="auto"/>
          <w:spacing w:val="0"/>
          <w:sz w:val="32"/>
          <w:szCs w:val="23"/>
          <w:highlight w:val="none"/>
          <w:shd w:val="clear" w:fill="FFFFFF"/>
          <w:lang w:val="en-US" w:eastAsia="zh-CN"/>
        </w:rPr>
        <w:t>环境影响</w:t>
      </w:r>
      <w:bookmarkEnd w:id="151"/>
      <w:r>
        <w:rPr>
          <w:rFonts w:hint="eastAsia" w:ascii="黑体" w:hAnsi="黑体" w:eastAsia="黑体" w:cs="黑体"/>
          <w:i w:val="0"/>
          <w:iCs w:val="0"/>
          <w:caps w:val="0"/>
          <w:color w:val="auto"/>
          <w:spacing w:val="0"/>
          <w:sz w:val="32"/>
          <w:szCs w:val="23"/>
          <w:highlight w:val="none"/>
          <w:shd w:val="clear" w:fill="FFFFFF"/>
          <w:lang w:val="en-US" w:eastAsia="zh-CN"/>
        </w:rPr>
        <w:t>评价</w:t>
      </w:r>
      <w:bookmarkEnd w:id="152"/>
      <w:bookmarkEnd w:id="153"/>
    </w:p>
    <w:p>
      <w:pPr>
        <w:pStyle w:val="22"/>
        <w:keepNext w:val="0"/>
        <w:keepLines w:val="0"/>
        <w:pageBreakBefore w:val="0"/>
        <w:widowControl/>
        <w:numPr>
          <w:ilvl w:val="0"/>
          <w:numId w:val="11"/>
        </w:numPr>
        <w:kinsoku/>
        <w:wordWrap/>
        <w:overflowPunct/>
        <w:topLinePunct w:val="0"/>
        <w:autoSpaceDE/>
        <w:autoSpaceDN/>
        <w:bidi w:val="0"/>
        <w:adjustRightInd w:val="0"/>
        <w:snapToGrid w:val="0"/>
        <w:spacing w:line="560" w:lineRule="exact"/>
        <w:ind w:left="0" w:firstLine="640" w:firstLineChars="200"/>
        <w:textAlignment w:val="baseline"/>
        <w:outlineLvl w:val="1"/>
        <w:rPr>
          <w:rFonts w:hint="default" w:ascii="楷体_GB2312" w:hAnsi="楷体_GB2312" w:eastAsia="楷体_GB2312" w:cs="楷体_GB2312"/>
          <w:i w:val="0"/>
          <w:iCs w:val="0"/>
          <w:caps w:val="0"/>
          <w:color w:val="auto"/>
          <w:spacing w:val="0"/>
          <w:sz w:val="32"/>
          <w:szCs w:val="23"/>
          <w:highlight w:val="none"/>
          <w:shd w:val="clear" w:fill="FFFFFF"/>
          <w:lang w:val="en-US" w:eastAsia="zh-CN"/>
        </w:rPr>
      </w:pPr>
      <w:bookmarkStart w:id="154" w:name="_Toc18258"/>
      <w:bookmarkStart w:id="155" w:name="_Toc14624"/>
      <w:bookmarkStart w:id="156" w:name="_Toc1539251384"/>
      <w:r>
        <w:rPr>
          <w:rFonts w:hint="default" w:ascii="楷体_GB2312" w:hAnsi="楷体_GB2312" w:eastAsia="楷体_GB2312" w:cs="楷体_GB2312"/>
          <w:i w:val="0"/>
          <w:iCs w:val="0"/>
          <w:caps w:val="0"/>
          <w:color w:val="auto"/>
          <w:spacing w:val="0"/>
          <w:sz w:val="32"/>
          <w:szCs w:val="23"/>
          <w:highlight w:val="none"/>
          <w:shd w:val="clear" w:fill="FFFFFF"/>
          <w:lang w:val="en-US" w:eastAsia="zh-CN"/>
        </w:rPr>
        <w:t>规划协调性与环境目标</w:t>
      </w:r>
      <w:bookmarkEnd w:id="154"/>
      <w:bookmarkEnd w:id="155"/>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color w:val="auto"/>
          <w:highlight w:val="none"/>
          <w:lang w:val="en-US" w:eastAsia="zh-CN"/>
        </w:rPr>
        <w:t>本规划与《中华人民共和国环境保护法》《中华人民共和国环境影响评价法》《规划环境影响评价条例》及技术导则的要求相衔接，与《湖北省</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十五五</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新型能源体系建设规划》在清洁低碳转型方向上协调一致，落实</w:t>
      </w:r>
      <w:r>
        <w:rPr>
          <w:rFonts w:hint="eastAsia" w:ascii="Times New Roman Regular" w:hAnsi="Times New Roman Regular" w:cs="Times New Roman Regular"/>
          <w:color w:val="auto"/>
          <w:highlight w:val="none"/>
          <w:lang w:val="en-US" w:eastAsia="zh-CN"/>
        </w:rPr>
        <w:t>鄂州</w:t>
      </w:r>
      <w:r>
        <w:rPr>
          <w:rFonts w:hint="default" w:ascii="Times New Roman Regular" w:hAnsi="Times New Roman Regular" w:cs="Times New Roman Regular"/>
          <w:color w:val="auto"/>
          <w:highlight w:val="none"/>
          <w:lang w:val="en-US" w:eastAsia="zh-CN"/>
        </w:rPr>
        <w:t>市</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三线一单</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生态环境分区管控要求。规划新建煤电机组全面执行超低排放标准，规划项目不占用生态保护红线。到2030年，力争实现单位发电量碳排放较2025年下降</w:t>
      </w:r>
      <w:r>
        <w:rPr>
          <w:rFonts w:hint="eastAsia" w:ascii="Times New Roman Regular" w:hAnsi="Times New Roman Regular" w:cs="Times New Roman Regular"/>
          <w:color w:val="auto"/>
          <w:highlight w:val="none"/>
          <w:lang w:val="en-US" w:eastAsia="zh-CN"/>
        </w:rPr>
        <w:t>、</w:t>
      </w:r>
      <w:r>
        <w:rPr>
          <w:rFonts w:hint="default" w:ascii="Times New Roman Regular" w:hAnsi="Times New Roman Regular" w:cs="Times New Roman Regular"/>
          <w:color w:val="auto"/>
          <w:highlight w:val="none"/>
          <w:lang w:val="en-US" w:eastAsia="zh-CN"/>
        </w:rPr>
        <w:t>非化石能源消费占比满足省下达目标。</w:t>
      </w:r>
    </w:p>
    <w:p>
      <w:pPr>
        <w:pStyle w:val="22"/>
        <w:keepNext w:val="0"/>
        <w:keepLines w:val="0"/>
        <w:pageBreakBefore w:val="0"/>
        <w:widowControl/>
        <w:numPr>
          <w:ilvl w:val="0"/>
          <w:numId w:val="11"/>
        </w:numPr>
        <w:kinsoku/>
        <w:wordWrap/>
        <w:overflowPunct/>
        <w:topLinePunct w:val="0"/>
        <w:autoSpaceDE/>
        <w:autoSpaceDN/>
        <w:bidi w:val="0"/>
        <w:adjustRightInd w:val="0"/>
        <w:snapToGrid w:val="0"/>
        <w:spacing w:line="560" w:lineRule="exact"/>
        <w:ind w:left="0" w:firstLine="640" w:firstLineChars="200"/>
        <w:textAlignment w:val="baseline"/>
        <w:outlineLvl w:val="1"/>
        <w:rPr>
          <w:rFonts w:hint="default" w:ascii="楷体_GB2312" w:hAnsi="楷体_GB2312" w:eastAsia="楷体_GB2312" w:cs="楷体_GB2312"/>
          <w:i w:val="0"/>
          <w:iCs w:val="0"/>
          <w:caps w:val="0"/>
          <w:color w:val="auto"/>
          <w:spacing w:val="0"/>
          <w:sz w:val="32"/>
          <w:szCs w:val="23"/>
          <w:highlight w:val="none"/>
          <w:shd w:val="clear" w:fill="FFFFFF"/>
          <w:lang w:val="en-US" w:eastAsia="zh-CN"/>
        </w:rPr>
      </w:pPr>
      <w:bookmarkStart w:id="157" w:name="_Toc14510"/>
      <w:bookmarkStart w:id="158" w:name="_Toc26751"/>
      <w:r>
        <w:rPr>
          <w:rFonts w:hint="default" w:ascii="楷体_GB2312" w:hAnsi="楷体_GB2312" w:eastAsia="楷体_GB2312" w:cs="楷体_GB2312"/>
          <w:i w:val="0"/>
          <w:iCs w:val="0"/>
          <w:caps w:val="0"/>
          <w:color w:val="auto"/>
          <w:spacing w:val="0"/>
          <w:sz w:val="32"/>
          <w:szCs w:val="23"/>
          <w:highlight w:val="none"/>
          <w:shd w:val="clear" w:fill="FFFFFF"/>
          <w:lang w:val="en-US" w:eastAsia="zh-CN"/>
        </w:rPr>
        <w:t>环境影响与资源环境承载能力分析</w:t>
      </w:r>
      <w:bookmarkEnd w:id="157"/>
      <w:bookmarkEnd w:id="158"/>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color w:val="auto"/>
          <w:highlight w:val="none"/>
          <w:lang w:val="en-US" w:eastAsia="zh-CN"/>
        </w:rPr>
        <w:t>本规划涵盖煤电、风光发电、输变电工程、油气管网、储能及氢能等建设项目。其中，煤电项目建设对大气环境、碳排放和水资源消耗影响显著，新增煤电机组须通过等容量或减量替代严格控制污染物排放增量；风光发电项目对生态环境有局部影响，应优化选址避让生态保护红线和重要生态功能区；输变电工程主要影响声环境和电磁环境，选线应绕避环境敏感区；油气管网及储气设施存在泄漏、火灾爆炸等环境风险，</w:t>
      </w:r>
      <w:r>
        <w:rPr>
          <w:rFonts w:hint="eastAsia" w:ascii="Times New Roman Regular" w:hAnsi="Times New Roman Regular" w:cs="Times New Roman Regular"/>
          <w:color w:val="auto"/>
          <w:highlight w:val="none"/>
          <w:lang w:val="en-US" w:eastAsia="zh-CN"/>
        </w:rPr>
        <w:t>中韩（武汉）石化至鄂州花湖机场航空煤油管道</w:t>
      </w:r>
      <w:r>
        <w:rPr>
          <w:rFonts w:hint="default" w:ascii="Times New Roman Regular" w:hAnsi="Times New Roman Regular" w:cs="Times New Roman Regular"/>
          <w:color w:val="auto"/>
          <w:highlight w:val="none"/>
          <w:lang w:val="en-US" w:eastAsia="zh-CN"/>
        </w:rPr>
        <w:t>等重大风险源须严格落实安全防护距离；储能及氢能产业涉及危险废物处置和泄漏燃爆风险，应严格全过程管控。</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color w:val="auto"/>
          <w:highlight w:val="none"/>
          <w:lang w:val="en-US" w:eastAsia="zh-CN"/>
        </w:rPr>
        <w:t>在资源环境承载能力方面，规划实施的环境影响以煤电项目为重点，以碳排放和大气污染物排放为主要关注要素。依托现役机组淘汰替代和区域削减方案，新增煤电的污染物排放增量可控制在区域环境容量允许范围内。土地资源方面，规划项目新增占地与国土空间规划基本协调。水资源方面，火电取水和制氢用水需求持续增长，须通过再生水利用和中水回用保障。清洁能源替代可削减煤炭消费约百万吨标煤，规划实施具有显著环境效益。</w:t>
      </w:r>
    </w:p>
    <w:p>
      <w:pPr>
        <w:pStyle w:val="22"/>
        <w:keepNext w:val="0"/>
        <w:keepLines w:val="0"/>
        <w:pageBreakBefore w:val="0"/>
        <w:widowControl/>
        <w:numPr>
          <w:ilvl w:val="0"/>
          <w:numId w:val="11"/>
        </w:numPr>
        <w:kinsoku/>
        <w:wordWrap/>
        <w:overflowPunct/>
        <w:topLinePunct w:val="0"/>
        <w:autoSpaceDE/>
        <w:autoSpaceDN/>
        <w:bidi w:val="0"/>
        <w:adjustRightInd w:val="0"/>
        <w:snapToGrid w:val="0"/>
        <w:spacing w:line="560" w:lineRule="exact"/>
        <w:ind w:left="0" w:firstLine="640" w:firstLineChars="200"/>
        <w:textAlignment w:val="baseline"/>
        <w:outlineLvl w:val="1"/>
        <w:rPr>
          <w:rFonts w:hint="default" w:ascii="楷体_GB2312" w:hAnsi="楷体_GB2312" w:eastAsia="楷体_GB2312" w:cs="楷体_GB2312"/>
          <w:i w:val="0"/>
          <w:iCs w:val="0"/>
          <w:caps w:val="0"/>
          <w:color w:val="auto"/>
          <w:spacing w:val="0"/>
          <w:sz w:val="32"/>
          <w:szCs w:val="23"/>
          <w:highlight w:val="none"/>
          <w:shd w:val="clear" w:fill="FFFFFF"/>
          <w:lang w:val="en-US" w:eastAsia="zh-CN"/>
        </w:rPr>
      </w:pPr>
      <w:bookmarkStart w:id="159" w:name="_Toc22060"/>
      <w:bookmarkStart w:id="160" w:name="_Toc11923"/>
      <w:r>
        <w:rPr>
          <w:rFonts w:hint="default" w:ascii="楷体_GB2312" w:hAnsi="楷体_GB2312" w:eastAsia="楷体_GB2312" w:cs="楷体_GB2312"/>
          <w:i w:val="0"/>
          <w:iCs w:val="0"/>
          <w:caps w:val="0"/>
          <w:color w:val="auto"/>
          <w:spacing w:val="0"/>
          <w:sz w:val="32"/>
          <w:szCs w:val="23"/>
          <w:highlight w:val="none"/>
          <w:shd w:val="clear" w:fill="FFFFFF"/>
          <w:lang w:val="en-US" w:eastAsia="zh-CN"/>
        </w:rPr>
        <w:t>环境影响减缓措施与跟踪评价</w:t>
      </w:r>
      <w:bookmarkEnd w:id="159"/>
      <w:bookmarkEnd w:id="160"/>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color w:val="auto"/>
          <w:highlight w:val="none"/>
          <w:lang w:val="en-US" w:eastAsia="zh-CN"/>
        </w:rPr>
        <w:t>制度管控与污染防治。严格执行规划环评与项目环评联动机制。新建煤电机组执行超低排放标准，配套高效脱硫脱硝除尘设施，推动废水零排放，灰渣和脱硫石膏综合利用率达95%以上。输变电工程执行电磁环境和噪声控制标准。储能和氢能产业严格危险废物全过程管控。</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Times New Roman Regular" w:hAnsi="Times New Roman Regular" w:cs="Times New Roman Regular"/>
          <w:color w:val="auto"/>
          <w:highlight w:val="none"/>
          <w:lang w:val="en-US" w:eastAsia="zh-CN"/>
        </w:rPr>
      </w:pPr>
      <w:r>
        <w:rPr>
          <w:rFonts w:hint="default" w:ascii="Times New Roman Regular" w:hAnsi="Times New Roman Regular" w:cs="Times New Roman Regular"/>
          <w:color w:val="auto"/>
          <w:highlight w:val="none"/>
          <w:lang w:val="en-US" w:eastAsia="zh-CN"/>
        </w:rPr>
        <w:t>生态保护与风险防控。风光项目施工期落实水土保持和植被恢复措施。油气和氢能储运设施落实安全防护距离、泄漏监测预警和应急预案。将碳排放评价纳入能源项目环评，督促纳入碳市场的企业完成100%履约。</w:t>
      </w:r>
    </w:p>
    <w:p>
      <w:pPr>
        <w:pStyle w:val="22"/>
        <w:keepNext w:val="0"/>
        <w:keepLines w:val="0"/>
        <w:pageBreakBefore w:val="0"/>
        <w:widowControl/>
        <w:numPr>
          <w:ilvl w:val="-1"/>
          <w:numId w:val="0"/>
        </w:numPr>
        <w:kinsoku/>
        <w:wordWrap/>
        <w:overflowPunct/>
        <w:topLinePunct w:val="0"/>
        <w:autoSpaceDE/>
        <w:autoSpaceDN/>
        <w:bidi w:val="0"/>
        <w:adjustRightInd w:val="0"/>
        <w:snapToGrid w:val="0"/>
        <w:spacing w:line="560" w:lineRule="exact"/>
        <w:ind w:left="0" w:firstLine="640" w:firstLineChars="200"/>
        <w:textAlignment w:val="baseline"/>
        <w:rPr>
          <w:rFonts w:hint="default" w:ascii="仿宋_GB2312" w:hAnsi="仿宋_GB2312" w:eastAsia="仿宋_GB2312" w:cstheme="minorBidi"/>
          <w:kern w:val="2"/>
          <w:sz w:val="32"/>
          <w:szCs w:val="22"/>
          <w:lang w:val="en-US" w:eastAsia="zh-CN" w:bidi="ar-SA"/>
        </w:rPr>
      </w:pPr>
      <w:r>
        <w:rPr>
          <w:rFonts w:hint="default" w:ascii="Times New Roman Regular" w:hAnsi="Times New Roman Regular" w:cs="Times New Roman Regular"/>
          <w:color w:val="auto"/>
          <w:highlight w:val="none"/>
          <w:lang w:val="en-US" w:eastAsia="zh-CN"/>
        </w:rPr>
        <w:t>跟踪评价。规划实施中期（2028年前后）开展环境影响跟踪评价，重点监测区域环境质量变化趋势、煤电项目实际排放与许可排放的符合性、生态敏感区受影响程度及碳减排目标进展，根据评价结果动态调整规划实施路径</w:t>
      </w:r>
      <w:r>
        <w:rPr>
          <w:rFonts w:hint="eastAsia" w:ascii="Times New Roman Regular" w:hAnsi="Times New Roman Regular" w:cs="Times New Roman Regular"/>
          <w:color w:val="auto"/>
          <w:highlight w:val="none"/>
          <w:lang w:val="en-US" w:eastAsia="zh-CN"/>
        </w:rPr>
        <w:t>。</w:t>
      </w:r>
      <w:bookmarkEnd w:id="156"/>
    </w:p>
    <w:sectPr>
      <w:headerReference r:id="rId14" w:type="default"/>
      <w:footerReference r:id="rId15" w:type="default"/>
      <w:pgSz w:w="11906" w:h="16838"/>
      <w:pgMar w:top="1440" w:right="1800" w:bottom="1440" w:left="1800" w:header="851" w:footer="992" w:gutter="0"/>
      <w:paperSrc/>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2312"/>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CESI宋体-GB2312">
    <w:panose1 w:val="02000500000000000000"/>
    <w:charset w:val="86"/>
    <w:family w:val="auto"/>
    <w:pitch w:val="default"/>
    <w:sig w:usb0="800002AF" w:usb1="08476CF8" w:usb2="00000010" w:usb3="00000000" w:csb0="0004000F" w:csb1="00000000"/>
  </w:font>
  <w:font w:name="Times New Roman Regular">
    <w:altName w:val="DejaVu Sans"/>
    <w:panose1 w:val="02020503050405090304"/>
    <w:charset w:val="00"/>
    <w:family w:val="auto"/>
    <w:pitch w:val="default"/>
    <w:sig w:usb0="00000000" w:usb1="00000000" w:usb2="00000001" w:usb3="00000000" w:csb0="400001BF" w:csb1="DFF7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4836"/>
        <w:tab w:val="clear" w:pos="4153"/>
      </w:tabs>
      <w:ind w:firstLine="360"/>
      <w:rPr>
        <w:rFonts w:hint="eastAsia" w:eastAsia="仿宋_GB2312"/>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4836"/>
        <w:tab w:val="clear" w:pos="4153"/>
      </w:tabs>
      <w:ind w:firstLine="360"/>
      <w:rPr>
        <w:rFonts w:hint="eastAsia" w:eastAsia="仿宋_GB2312"/>
        <w:lang w:eastAsia="zh-CN"/>
      </w:rPr>
    </w:pP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4836"/>
        <w:tab w:val="clear" w:pos="4153"/>
      </w:tabs>
      <w:ind w:firstLine="360"/>
      <w:rPr>
        <w:rFonts w:hint="eastAsia" w:eastAsia="仿宋_GB2312"/>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II</w:t>
                    </w:r>
                    <w:r>
                      <w:fldChar w:fldCharType="end"/>
                    </w:r>
                  </w:p>
                </w:txbxContent>
              </v:textbox>
            </v:shape>
          </w:pict>
        </mc:Fallback>
      </mc:AlternateConten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ind w:firstLine="640"/>
      </w:pPr>
      <w:r>
        <w:separator/>
      </w:r>
    </w:p>
  </w:footnote>
  <w:footnote w:type="continuationSeparator" w:id="5">
    <w:p>
      <w:pPr>
        <w:spacing w:line="240" w:lineRule="auto"/>
        <w:ind w:firstLine="640"/>
      </w:pPr>
      <w:r>
        <w:continuationSeparator/>
      </w:r>
    </w:p>
  </w:footnote>
  <w:footnote w:id="0">
    <w:p>
      <w:pPr>
        <w:pStyle w:val="13"/>
        <w:keepNext w:val="0"/>
        <w:keepLines w:val="0"/>
        <w:pageBreakBefore w:val="0"/>
        <w:widowControl w:val="0"/>
        <w:kinsoku/>
        <w:wordWrap/>
        <w:overflowPunct/>
        <w:topLinePunct w:val="0"/>
        <w:bidi w:val="0"/>
        <w:adjustRightInd/>
        <w:snapToGrid w:val="0"/>
        <w:spacing w:line="240" w:lineRule="auto"/>
        <w:textAlignment w:val="auto"/>
        <w:rPr>
          <w:rFonts w:hint="default" w:eastAsia="仿宋_GB2312"/>
          <w:highlight w:val="none"/>
          <w:lang w:val="en-US" w:eastAsia="zh-CN"/>
        </w:rPr>
      </w:pPr>
      <w:r>
        <w:rPr>
          <w:rStyle w:val="21"/>
          <w:highlight w:val="none"/>
        </w:rPr>
        <w:footnoteRef/>
      </w:r>
      <w:r>
        <w:rPr>
          <w:highlight w:val="none"/>
        </w:rPr>
        <w:t xml:space="preserve"> </w:t>
      </w:r>
      <w:r>
        <w:rPr>
          <w:rFonts w:hint="eastAsia"/>
          <w:highlight w:val="none"/>
          <w:lang w:val="en-US" w:eastAsia="zh-CN"/>
        </w:rPr>
        <w:t>光伏发电折标</w:t>
      </w:r>
    </w:p>
  </w:footnote>
  <w:footnote w:id="1">
    <w:p>
      <w:pPr>
        <w:pStyle w:val="13"/>
        <w:keepNext w:val="0"/>
        <w:keepLines w:val="0"/>
        <w:pageBreakBefore w:val="0"/>
        <w:widowControl w:val="0"/>
        <w:kinsoku/>
        <w:wordWrap/>
        <w:overflowPunct/>
        <w:topLinePunct w:val="0"/>
        <w:bidi w:val="0"/>
        <w:adjustRightInd/>
        <w:snapToGrid w:val="0"/>
        <w:spacing w:line="240" w:lineRule="auto"/>
        <w:textAlignment w:val="auto"/>
        <w:rPr>
          <w:rFonts w:hint="default" w:eastAsia="仿宋_GB2312"/>
          <w:highlight w:val="none"/>
          <w:lang w:val="en-US" w:eastAsia="zh-CN"/>
        </w:rPr>
      </w:pPr>
      <w:r>
        <w:rPr>
          <w:rStyle w:val="21"/>
          <w:highlight w:val="none"/>
        </w:rPr>
        <w:footnoteRef/>
      </w:r>
      <w:r>
        <w:rPr>
          <w:highlight w:val="none"/>
        </w:rPr>
        <w:t xml:space="preserve"> </w:t>
      </w:r>
      <w:r>
        <w:rPr>
          <w:rFonts w:hint="eastAsia"/>
          <w:highlight w:val="none"/>
          <w:lang w:val="en-US" w:eastAsia="zh-CN"/>
        </w:rPr>
        <w:t>全口径煤、油、气、电能源消费总量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C82E1"/>
    <w:multiLevelType w:val="singleLevel"/>
    <w:tmpl w:val="85CC82E1"/>
    <w:lvl w:ilvl="0" w:tentative="0">
      <w:start w:val="1"/>
      <w:numFmt w:val="chineseCounting"/>
      <w:suff w:val="nothing"/>
      <w:lvlText w:val="（%1）"/>
      <w:lvlJc w:val="left"/>
      <w:pPr>
        <w:ind w:left="0" w:firstLine="420"/>
      </w:pPr>
      <w:rPr>
        <w:rFonts w:hint="eastAsia"/>
      </w:rPr>
    </w:lvl>
  </w:abstractNum>
  <w:abstractNum w:abstractNumId="1">
    <w:nsid w:val="8FAF70F4"/>
    <w:multiLevelType w:val="singleLevel"/>
    <w:tmpl w:val="8FAF70F4"/>
    <w:lvl w:ilvl="0" w:tentative="0">
      <w:start w:val="1"/>
      <w:numFmt w:val="chineseCounting"/>
      <w:suff w:val="nothing"/>
      <w:lvlText w:val="%1、"/>
      <w:lvlJc w:val="left"/>
      <w:pPr>
        <w:ind w:left="0" w:firstLine="420"/>
      </w:pPr>
      <w:rPr>
        <w:rFonts w:hint="eastAsia"/>
      </w:rPr>
    </w:lvl>
  </w:abstractNum>
  <w:abstractNum w:abstractNumId="2">
    <w:nsid w:val="B9C02554"/>
    <w:multiLevelType w:val="singleLevel"/>
    <w:tmpl w:val="B9C02554"/>
    <w:lvl w:ilvl="0" w:tentative="0">
      <w:start w:val="1"/>
      <w:numFmt w:val="chineseCounting"/>
      <w:suff w:val="nothing"/>
      <w:lvlText w:val="（%1）"/>
      <w:lvlJc w:val="left"/>
      <w:pPr>
        <w:ind w:left="0" w:firstLine="420"/>
      </w:pPr>
      <w:rPr>
        <w:rFonts w:hint="eastAsia"/>
      </w:rPr>
    </w:lvl>
  </w:abstractNum>
  <w:abstractNum w:abstractNumId="3">
    <w:nsid w:val="E4B99BEA"/>
    <w:multiLevelType w:val="singleLevel"/>
    <w:tmpl w:val="E4B99BEA"/>
    <w:lvl w:ilvl="0" w:tentative="0">
      <w:start w:val="1"/>
      <w:numFmt w:val="chineseCounting"/>
      <w:suff w:val="nothing"/>
      <w:lvlText w:val="（%1）"/>
      <w:lvlJc w:val="left"/>
      <w:pPr>
        <w:ind w:left="0" w:firstLine="420"/>
      </w:pPr>
      <w:rPr>
        <w:rFonts w:hint="eastAsia"/>
      </w:rPr>
    </w:lvl>
  </w:abstractNum>
  <w:abstractNum w:abstractNumId="4">
    <w:nsid w:val="F3F1D8BA"/>
    <w:multiLevelType w:val="singleLevel"/>
    <w:tmpl w:val="F3F1D8BA"/>
    <w:lvl w:ilvl="0" w:tentative="0">
      <w:start w:val="1"/>
      <w:numFmt w:val="chineseCounting"/>
      <w:suff w:val="nothing"/>
      <w:lvlText w:val="（%1）"/>
      <w:lvlJc w:val="left"/>
      <w:rPr>
        <w:rFonts w:hint="eastAsia"/>
      </w:rPr>
    </w:lvl>
  </w:abstractNum>
  <w:abstractNum w:abstractNumId="5">
    <w:nsid w:val="24D94AD0"/>
    <w:multiLevelType w:val="multilevel"/>
    <w:tmpl w:val="24D94AD0"/>
    <w:lvl w:ilvl="0" w:tentative="0">
      <w:start w:val="1"/>
      <w:numFmt w:val="chineseCountingThousand"/>
      <w:pStyle w:val="2"/>
      <w:suff w:val="space"/>
      <w:lvlText w:val="%1、"/>
      <w:lvlJc w:val="left"/>
      <w:pPr>
        <w:ind w:left="0" w:firstLine="0"/>
      </w:pPr>
      <w:rPr>
        <w:rFonts w:hint="eastAsia" w:ascii="黑体" w:eastAsia="黑体"/>
        <w:sz w:val="32"/>
      </w:rPr>
    </w:lvl>
    <w:lvl w:ilvl="1" w:tentative="0">
      <w:start w:val="1"/>
      <w:numFmt w:val="chineseCountingThousand"/>
      <w:pStyle w:val="3"/>
      <w:suff w:val="space"/>
      <w:lvlText w:val="（%2）"/>
      <w:lvlJc w:val="left"/>
      <w:pPr>
        <w:ind w:left="0" w:firstLine="0"/>
      </w:pPr>
      <w:rPr>
        <w:rFonts w:hint="eastAsia" w:ascii="楷体_GB2312" w:eastAsia="楷体_GB2312"/>
        <w:sz w:val="32"/>
        <w:lang w:val="en-US"/>
      </w:rPr>
    </w:lvl>
    <w:lvl w:ilvl="2" w:tentative="0">
      <w:start w:val="1"/>
      <w:numFmt w:val="decimal"/>
      <w:pStyle w:val="4"/>
      <w:suff w:val="space"/>
      <w:lvlText w:val="%3."/>
      <w:lvlJc w:val="left"/>
      <w:pPr>
        <w:ind w:left="0" w:firstLine="0"/>
      </w:pPr>
      <w:rPr>
        <w:rFonts w:hint="eastAsia" w:ascii="仿宋_GB2312" w:eastAsia="仿宋_GB2312"/>
        <w:sz w:val="32"/>
      </w:rPr>
    </w:lvl>
    <w:lvl w:ilvl="3" w:tentative="0">
      <w:start w:val="1"/>
      <w:numFmt w:val="decimal"/>
      <w:suff w:val="space"/>
      <w:lvlText w:val="（%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3CC86FF4"/>
    <w:multiLevelType w:val="singleLevel"/>
    <w:tmpl w:val="3CC86FF4"/>
    <w:lvl w:ilvl="0" w:tentative="0">
      <w:start w:val="1"/>
      <w:numFmt w:val="chineseCounting"/>
      <w:suff w:val="nothing"/>
      <w:lvlText w:val="（%1）"/>
      <w:lvlJc w:val="left"/>
      <w:pPr>
        <w:ind w:left="0" w:firstLine="420"/>
      </w:pPr>
      <w:rPr>
        <w:rFonts w:hint="eastAsia"/>
      </w:rPr>
    </w:lvl>
  </w:abstractNum>
  <w:abstractNum w:abstractNumId="7">
    <w:nsid w:val="400CD846"/>
    <w:multiLevelType w:val="singleLevel"/>
    <w:tmpl w:val="400CD846"/>
    <w:lvl w:ilvl="0" w:tentative="0">
      <w:start w:val="1"/>
      <w:numFmt w:val="chineseCounting"/>
      <w:suff w:val="nothing"/>
      <w:lvlText w:val="（%1）"/>
      <w:lvlJc w:val="left"/>
      <w:pPr>
        <w:ind w:left="0" w:firstLine="420"/>
      </w:pPr>
      <w:rPr>
        <w:rFonts w:hint="eastAsia"/>
      </w:rPr>
    </w:lvl>
  </w:abstractNum>
  <w:abstractNum w:abstractNumId="8">
    <w:nsid w:val="4F7D2F60"/>
    <w:multiLevelType w:val="singleLevel"/>
    <w:tmpl w:val="4F7D2F60"/>
    <w:lvl w:ilvl="0" w:tentative="0">
      <w:start w:val="1"/>
      <w:numFmt w:val="chineseCounting"/>
      <w:suff w:val="nothing"/>
      <w:lvlText w:val="（%1）"/>
      <w:lvlJc w:val="left"/>
      <w:pPr>
        <w:ind w:left="0" w:firstLine="420"/>
      </w:pPr>
      <w:rPr>
        <w:rFonts w:hint="eastAsia"/>
      </w:rPr>
    </w:lvl>
  </w:abstractNum>
  <w:abstractNum w:abstractNumId="9">
    <w:nsid w:val="50EC3697"/>
    <w:multiLevelType w:val="singleLevel"/>
    <w:tmpl w:val="50EC3697"/>
    <w:lvl w:ilvl="0" w:tentative="0">
      <w:start w:val="1"/>
      <w:numFmt w:val="chineseCounting"/>
      <w:suff w:val="nothing"/>
      <w:lvlText w:val="（%1）"/>
      <w:lvlJc w:val="left"/>
      <w:pPr>
        <w:ind w:left="0" w:firstLine="420"/>
      </w:pPr>
      <w:rPr>
        <w:rFonts w:hint="eastAsia"/>
      </w:rPr>
    </w:lvl>
  </w:abstractNum>
  <w:abstractNum w:abstractNumId="10">
    <w:nsid w:val="5BE6BDC7"/>
    <w:multiLevelType w:val="singleLevel"/>
    <w:tmpl w:val="5BE6BDC7"/>
    <w:lvl w:ilvl="0" w:tentative="0">
      <w:start w:val="1"/>
      <w:numFmt w:val="chineseCounting"/>
      <w:suff w:val="nothing"/>
      <w:lvlText w:val="（%1）"/>
      <w:lvlJc w:val="left"/>
      <w:pPr>
        <w:ind w:left="0" w:firstLine="420"/>
      </w:pPr>
      <w:rPr>
        <w:rFonts w:hint="eastAsia"/>
      </w:rPr>
    </w:lvl>
  </w:abstractNum>
  <w:num w:numId="1">
    <w:abstractNumId w:val="5"/>
  </w:num>
  <w:num w:numId="2">
    <w:abstractNumId w:val="1"/>
  </w:num>
  <w:num w:numId="3">
    <w:abstractNumId w:val="4"/>
  </w:num>
  <w:num w:numId="4">
    <w:abstractNumId w:val="9"/>
  </w:num>
  <w:num w:numId="5">
    <w:abstractNumId w:val="6"/>
  </w:num>
  <w:num w:numId="6">
    <w:abstractNumId w:val="7"/>
  </w:num>
  <w:num w:numId="7">
    <w:abstractNumId w:val="10"/>
  </w:num>
  <w:num w:numId="8">
    <w:abstractNumId w:val="2"/>
  </w:num>
  <w:num w:numId="9">
    <w:abstractNumId w:val="8"/>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F4006"/>
    <w:rsid w:val="006F2C45"/>
    <w:rsid w:val="00911E3A"/>
    <w:rsid w:val="009D5FA8"/>
    <w:rsid w:val="0128267A"/>
    <w:rsid w:val="014C132E"/>
    <w:rsid w:val="0217394F"/>
    <w:rsid w:val="02E84AD8"/>
    <w:rsid w:val="02FA5B72"/>
    <w:rsid w:val="03464825"/>
    <w:rsid w:val="035A47A0"/>
    <w:rsid w:val="037E6688"/>
    <w:rsid w:val="03C255BA"/>
    <w:rsid w:val="0448735B"/>
    <w:rsid w:val="044E498E"/>
    <w:rsid w:val="04506D80"/>
    <w:rsid w:val="04781C1A"/>
    <w:rsid w:val="04803510"/>
    <w:rsid w:val="04B64ED6"/>
    <w:rsid w:val="04CF55A3"/>
    <w:rsid w:val="056229CF"/>
    <w:rsid w:val="05DA1B44"/>
    <w:rsid w:val="0607328E"/>
    <w:rsid w:val="06750027"/>
    <w:rsid w:val="068A02CF"/>
    <w:rsid w:val="07204668"/>
    <w:rsid w:val="07794E4B"/>
    <w:rsid w:val="079C403E"/>
    <w:rsid w:val="07A11D12"/>
    <w:rsid w:val="07F35AC7"/>
    <w:rsid w:val="081C1C8A"/>
    <w:rsid w:val="0824157E"/>
    <w:rsid w:val="0863490D"/>
    <w:rsid w:val="08871CE7"/>
    <w:rsid w:val="09414AC1"/>
    <w:rsid w:val="09442803"/>
    <w:rsid w:val="0A237C7A"/>
    <w:rsid w:val="0A3224AE"/>
    <w:rsid w:val="0A773F41"/>
    <w:rsid w:val="0A9C281E"/>
    <w:rsid w:val="0AD2416C"/>
    <w:rsid w:val="0B5C1DFE"/>
    <w:rsid w:val="0B806E1A"/>
    <w:rsid w:val="0B8F217E"/>
    <w:rsid w:val="0C100FD8"/>
    <w:rsid w:val="0C383C36"/>
    <w:rsid w:val="0CB109AE"/>
    <w:rsid w:val="0CC6172F"/>
    <w:rsid w:val="0D19299A"/>
    <w:rsid w:val="0D675A18"/>
    <w:rsid w:val="0DA943CA"/>
    <w:rsid w:val="0DD957FC"/>
    <w:rsid w:val="0DDA27F4"/>
    <w:rsid w:val="0E1C14FD"/>
    <w:rsid w:val="0E3A21BF"/>
    <w:rsid w:val="0E5172E9"/>
    <w:rsid w:val="0E887A67"/>
    <w:rsid w:val="0E9176E6"/>
    <w:rsid w:val="0EC0744D"/>
    <w:rsid w:val="0EC10BC1"/>
    <w:rsid w:val="0F146EAA"/>
    <w:rsid w:val="0F61353A"/>
    <w:rsid w:val="0FB13ED8"/>
    <w:rsid w:val="0FC71DED"/>
    <w:rsid w:val="0FCC47CA"/>
    <w:rsid w:val="10086FF2"/>
    <w:rsid w:val="11286304"/>
    <w:rsid w:val="112C62D5"/>
    <w:rsid w:val="117546A3"/>
    <w:rsid w:val="11776896"/>
    <w:rsid w:val="11CB5622"/>
    <w:rsid w:val="12114AE5"/>
    <w:rsid w:val="134B6F9B"/>
    <w:rsid w:val="13697265"/>
    <w:rsid w:val="139C4755"/>
    <w:rsid w:val="13AB0703"/>
    <w:rsid w:val="13F75BCF"/>
    <w:rsid w:val="14272AF5"/>
    <w:rsid w:val="142C2B26"/>
    <w:rsid w:val="144936FC"/>
    <w:rsid w:val="144D4C62"/>
    <w:rsid w:val="14641E26"/>
    <w:rsid w:val="14B04CA8"/>
    <w:rsid w:val="153E66BC"/>
    <w:rsid w:val="15C5114C"/>
    <w:rsid w:val="162B5D51"/>
    <w:rsid w:val="16466CE3"/>
    <w:rsid w:val="16522757"/>
    <w:rsid w:val="165775FB"/>
    <w:rsid w:val="167F66CC"/>
    <w:rsid w:val="16C206B2"/>
    <w:rsid w:val="16E74250"/>
    <w:rsid w:val="171E42D1"/>
    <w:rsid w:val="184E419C"/>
    <w:rsid w:val="18AC2CF4"/>
    <w:rsid w:val="18C56D84"/>
    <w:rsid w:val="18E72754"/>
    <w:rsid w:val="193333DE"/>
    <w:rsid w:val="19621B79"/>
    <w:rsid w:val="19A129A0"/>
    <w:rsid w:val="19F8707D"/>
    <w:rsid w:val="1A045888"/>
    <w:rsid w:val="1ACB1266"/>
    <w:rsid w:val="1AF26BB7"/>
    <w:rsid w:val="1AFF3E59"/>
    <w:rsid w:val="1B5A5497"/>
    <w:rsid w:val="1BCB4C24"/>
    <w:rsid w:val="1BD67769"/>
    <w:rsid w:val="1C4E7C80"/>
    <w:rsid w:val="1C866A4B"/>
    <w:rsid w:val="1CAA4B29"/>
    <w:rsid w:val="1CFF010C"/>
    <w:rsid w:val="1D1C3D3E"/>
    <w:rsid w:val="1D297300"/>
    <w:rsid w:val="1D3A4957"/>
    <w:rsid w:val="1D462FC9"/>
    <w:rsid w:val="1D4E25C7"/>
    <w:rsid w:val="1D6019F0"/>
    <w:rsid w:val="1D8D2F01"/>
    <w:rsid w:val="1DB22149"/>
    <w:rsid w:val="1DB665B3"/>
    <w:rsid w:val="1E22646B"/>
    <w:rsid w:val="1E7324C4"/>
    <w:rsid w:val="1F170C05"/>
    <w:rsid w:val="1FC11AB7"/>
    <w:rsid w:val="1FD5107F"/>
    <w:rsid w:val="1FEF754A"/>
    <w:rsid w:val="215C2E5E"/>
    <w:rsid w:val="21BF4CC5"/>
    <w:rsid w:val="21C40D18"/>
    <w:rsid w:val="21F45A0A"/>
    <w:rsid w:val="228F6BF1"/>
    <w:rsid w:val="22BC27D5"/>
    <w:rsid w:val="22CB76B4"/>
    <w:rsid w:val="22D97EBC"/>
    <w:rsid w:val="22F92A6A"/>
    <w:rsid w:val="23815D41"/>
    <w:rsid w:val="23AC5C96"/>
    <w:rsid w:val="23BB2116"/>
    <w:rsid w:val="24455FEC"/>
    <w:rsid w:val="24931DE8"/>
    <w:rsid w:val="24A600AD"/>
    <w:rsid w:val="24EB45A0"/>
    <w:rsid w:val="24F50D42"/>
    <w:rsid w:val="24FA5C3D"/>
    <w:rsid w:val="253969A4"/>
    <w:rsid w:val="258567C1"/>
    <w:rsid w:val="25DE77B4"/>
    <w:rsid w:val="26951A63"/>
    <w:rsid w:val="276032BD"/>
    <w:rsid w:val="288B7D93"/>
    <w:rsid w:val="29361D11"/>
    <w:rsid w:val="293646EB"/>
    <w:rsid w:val="2A1B4D04"/>
    <w:rsid w:val="2A5E7662"/>
    <w:rsid w:val="2B14413F"/>
    <w:rsid w:val="2B5946AE"/>
    <w:rsid w:val="2B6F73F2"/>
    <w:rsid w:val="2BCF339B"/>
    <w:rsid w:val="2BE9405E"/>
    <w:rsid w:val="2BF35FDE"/>
    <w:rsid w:val="2C0256C6"/>
    <w:rsid w:val="2C8F16BC"/>
    <w:rsid w:val="2C9B6787"/>
    <w:rsid w:val="2CCD334A"/>
    <w:rsid w:val="2DA42F6E"/>
    <w:rsid w:val="2DFD7FA5"/>
    <w:rsid w:val="2E173184"/>
    <w:rsid w:val="2F35500D"/>
    <w:rsid w:val="2F3A210B"/>
    <w:rsid w:val="2F4F2A87"/>
    <w:rsid w:val="2FCA142A"/>
    <w:rsid w:val="306B38EB"/>
    <w:rsid w:val="308A13EE"/>
    <w:rsid w:val="31197F4E"/>
    <w:rsid w:val="314D2F38"/>
    <w:rsid w:val="31CF79BA"/>
    <w:rsid w:val="32927883"/>
    <w:rsid w:val="334C01CE"/>
    <w:rsid w:val="33B9096A"/>
    <w:rsid w:val="34594C70"/>
    <w:rsid w:val="34DC56D5"/>
    <w:rsid w:val="350519CA"/>
    <w:rsid w:val="350E3FA2"/>
    <w:rsid w:val="374469A1"/>
    <w:rsid w:val="37A55DE9"/>
    <w:rsid w:val="3883741A"/>
    <w:rsid w:val="38887403"/>
    <w:rsid w:val="38F2216D"/>
    <w:rsid w:val="38F52E6E"/>
    <w:rsid w:val="39600653"/>
    <w:rsid w:val="3986639D"/>
    <w:rsid w:val="3A7A45F6"/>
    <w:rsid w:val="3B124F73"/>
    <w:rsid w:val="3B330E19"/>
    <w:rsid w:val="3B6544A5"/>
    <w:rsid w:val="3B8A5537"/>
    <w:rsid w:val="3C2F4ACA"/>
    <w:rsid w:val="3CDF57D9"/>
    <w:rsid w:val="3D0433A8"/>
    <w:rsid w:val="3D2A13B7"/>
    <w:rsid w:val="3D7543A9"/>
    <w:rsid w:val="3DA47FB3"/>
    <w:rsid w:val="3DDC1972"/>
    <w:rsid w:val="3E8619E8"/>
    <w:rsid w:val="3F4F2A01"/>
    <w:rsid w:val="404F167F"/>
    <w:rsid w:val="40E9418A"/>
    <w:rsid w:val="416F7C0B"/>
    <w:rsid w:val="41C71300"/>
    <w:rsid w:val="42554B5E"/>
    <w:rsid w:val="427F2824"/>
    <w:rsid w:val="427F3612"/>
    <w:rsid w:val="429E5DDA"/>
    <w:rsid w:val="42BD6EF6"/>
    <w:rsid w:val="42BD7C31"/>
    <w:rsid w:val="42F92397"/>
    <w:rsid w:val="43853733"/>
    <w:rsid w:val="43D955D5"/>
    <w:rsid w:val="43EA6D91"/>
    <w:rsid w:val="43FC149B"/>
    <w:rsid w:val="44836BE5"/>
    <w:rsid w:val="4505392D"/>
    <w:rsid w:val="45D17D57"/>
    <w:rsid w:val="45FD72B3"/>
    <w:rsid w:val="460E227E"/>
    <w:rsid w:val="46341203"/>
    <w:rsid w:val="46804174"/>
    <w:rsid w:val="46827CD4"/>
    <w:rsid w:val="46A0188F"/>
    <w:rsid w:val="46A154F7"/>
    <w:rsid w:val="46C51FF4"/>
    <w:rsid w:val="46F908FE"/>
    <w:rsid w:val="471C688C"/>
    <w:rsid w:val="47531291"/>
    <w:rsid w:val="47A70060"/>
    <w:rsid w:val="47F73D98"/>
    <w:rsid w:val="47FB07A5"/>
    <w:rsid w:val="4894378C"/>
    <w:rsid w:val="48CC6E04"/>
    <w:rsid w:val="491F0F97"/>
    <w:rsid w:val="498126DD"/>
    <w:rsid w:val="49B303BC"/>
    <w:rsid w:val="49D57801"/>
    <w:rsid w:val="4A7A4D4D"/>
    <w:rsid w:val="4AB31351"/>
    <w:rsid w:val="4ABC72D7"/>
    <w:rsid w:val="4B102581"/>
    <w:rsid w:val="4B3A36AA"/>
    <w:rsid w:val="4B6F44C9"/>
    <w:rsid w:val="4B990D30"/>
    <w:rsid w:val="4BF019EA"/>
    <w:rsid w:val="4C5E135D"/>
    <w:rsid w:val="4C900527"/>
    <w:rsid w:val="4DC04167"/>
    <w:rsid w:val="4DFC41F2"/>
    <w:rsid w:val="4E311484"/>
    <w:rsid w:val="4E444CF1"/>
    <w:rsid w:val="4F1177A0"/>
    <w:rsid w:val="4F3B240C"/>
    <w:rsid w:val="4F481077"/>
    <w:rsid w:val="4F795496"/>
    <w:rsid w:val="4F825C0A"/>
    <w:rsid w:val="4FD31533"/>
    <w:rsid w:val="50286811"/>
    <w:rsid w:val="504F4006"/>
    <w:rsid w:val="505F1407"/>
    <w:rsid w:val="507C5634"/>
    <w:rsid w:val="509A66ED"/>
    <w:rsid w:val="50AC06B5"/>
    <w:rsid w:val="50C7711E"/>
    <w:rsid w:val="5168195C"/>
    <w:rsid w:val="51F03519"/>
    <w:rsid w:val="52934BFF"/>
    <w:rsid w:val="52943138"/>
    <w:rsid w:val="537227A3"/>
    <w:rsid w:val="53A31046"/>
    <w:rsid w:val="540248E3"/>
    <w:rsid w:val="562560BE"/>
    <w:rsid w:val="56597C1D"/>
    <w:rsid w:val="56B62BD2"/>
    <w:rsid w:val="57704F3A"/>
    <w:rsid w:val="577C071F"/>
    <w:rsid w:val="57894FC4"/>
    <w:rsid w:val="58231154"/>
    <w:rsid w:val="58B62040"/>
    <w:rsid w:val="58B71C77"/>
    <w:rsid w:val="58C16631"/>
    <w:rsid w:val="58D520FD"/>
    <w:rsid w:val="58EB5874"/>
    <w:rsid w:val="58F96CDF"/>
    <w:rsid w:val="595130F1"/>
    <w:rsid w:val="596B70D5"/>
    <w:rsid w:val="5A3714D6"/>
    <w:rsid w:val="5A3B3E59"/>
    <w:rsid w:val="5A6C75D8"/>
    <w:rsid w:val="5A8B6FB1"/>
    <w:rsid w:val="5A9A35FE"/>
    <w:rsid w:val="5AB246DC"/>
    <w:rsid w:val="5AEC4CE0"/>
    <w:rsid w:val="5B77741B"/>
    <w:rsid w:val="5C464A46"/>
    <w:rsid w:val="5C6B5C2C"/>
    <w:rsid w:val="5C9379BB"/>
    <w:rsid w:val="5D1966BA"/>
    <w:rsid w:val="5D1E47D6"/>
    <w:rsid w:val="5D777C27"/>
    <w:rsid w:val="5DBB7F74"/>
    <w:rsid w:val="5E343D6F"/>
    <w:rsid w:val="5E390721"/>
    <w:rsid w:val="5E7F1F53"/>
    <w:rsid w:val="5E932A62"/>
    <w:rsid w:val="5EFB6CBA"/>
    <w:rsid w:val="5FF0774D"/>
    <w:rsid w:val="601579DB"/>
    <w:rsid w:val="60536F74"/>
    <w:rsid w:val="609664CC"/>
    <w:rsid w:val="60A97CB4"/>
    <w:rsid w:val="60FB1EF3"/>
    <w:rsid w:val="612051B4"/>
    <w:rsid w:val="616E022D"/>
    <w:rsid w:val="618C72D2"/>
    <w:rsid w:val="618D5C6B"/>
    <w:rsid w:val="61954924"/>
    <w:rsid w:val="61BE180B"/>
    <w:rsid w:val="623C02BA"/>
    <w:rsid w:val="62AA1B94"/>
    <w:rsid w:val="62D668EA"/>
    <w:rsid w:val="63B7421A"/>
    <w:rsid w:val="63C77B59"/>
    <w:rsid w:val="64171057"/>
    <w:rsid w:val="64E70858"/>
    <w:rsid w:val="65384140"/>
    <w:rsid w:val="66202BA3"/>
    <w:rsid w:val="66336DB0"/>
    <w:rsid w:val="66FD590F"/>
    <w:rsid w:val="67A9489F"/>
    <w:rsid w:val="68F83950"/>
    <w:rsid w:val="693E4640"/>
    <w:rsid w:val="6A0751BF"/>
    <w:rsid w:val="6ACB7A1C"/>
    <w:rsid w:val="6B30724A"/>
    <w:rsid w:val="6BA77929"/>
    <w:rsid w:val="6C5E3704"/>
    <w:rsid w:val="6CBF6EF4"/>
    <w:rsid w:val="6CD01460"/>
    <w:rsid w:val="6DDE3BB6"/>
    <w:rsid w:val="6DFB4775"/>
    <w:rsid w:val="6E405E13"/>
    <w:rsid w:val="6E767432"/>
    <w:rsid w:val="6E7B596B"/>
    <w:rsid w:val="6E8814CD"/>
    <w:rsid w:val="6EAB4343"/>
    <w:rsid w:val="6ED769B9"/>
    <w:rsid w:val="6F0A62EB"/>
    <w:rsid w:val="6F6649F6"/>
    <w:rsid w:val="6FAA2F75"/>
    <w:rsid w:val="6FCE433F"/>
    <w:rsid w:val="6FDF7130"/>
    <w:rsid w:val="701871EC"/>
    <w:rsid w:val="70573C06"/>
    <w:rsid w:val="706E096F"/>
    <w:rsid w:val="71047AFA"/>
    <w:rsid w:val="711A4F78"/>
    <w:rsid w:val="717777FD"/>
    <w:rsid w:val="71881FAB"/>
    <w:rsid w:val="71C973B4"/>
    <w:rsid w:val="72304701"/>
    <w:rsid w:val="72A10820"/>
    <w:rsid w:val="72BA1917"/>
    <w:rsid w:val="72D84375"/>
    <w:rsid w:val="72F90158"/>
    <w:rsid w:val="73162357"/>
    <w:rsid w:val="73183B6C"/>
    <w:rsid w:val="73241A35"/>
    <w:rsid w:val="7384605A"/>
    <w:rsid w:val="738D5F26"/>
    <w:rsid w:val="73C27685"/>
    <w:rsid w:val="741C79BA"/>
    <w:rsid w:val="745F10E5"/>
    <w:rsid w:val="7463042F"/>
    <w:rsid w:val="749F5E50"/>
    <w:rsid w:val="74CD5DAC"/>
    <w:rsid w:val="74DA71B1"/>
    <w:rsid w:val="753545C3"/>
    <w:rsid w:val="755C02E9"/>
    <w:rsid w:val="756957B0"/>
    <w:rsid w:val="758026AD"/>
    <w:rsid w:val="76154380"/>
    <w:rsid w:val="76DF2B50"/>
    <w:rsid w:val="77B5517C"/>
    <w:rsid w:val="77EB2CED"/>
    <w:rsid w:val="78157F9B"/>
    <w:rsid w:val="784D3DE0"/>
    <w:rsid w:val="785B6AB9"/>
    <w:rsid w:val="78717574"/>
    <w:rsid w:val="78756318"/>
    <w:rsid w:val="78857519"/>
    <w:rsid w:val="78E67193"/>
    <w:rsid w:val="78FF0CDD"/>
    <w:rsid w:val="790676E1"/>
    <w:rsid w:val="7967301D"/>
    <w:rsid w:val="796B01E8"/>
    <w:rsid w:val="7A1F5BC8"/>
    <w:rsid w:val="7B5533BE"/>
    <w:rsid w:val="7B5A6CD4"/>
    <w:rsid w:val="7B646D7F"/>
    <w:rsid w:val="7BE015E1"/>
    <w:rsid w:val="7BE84FA9"/>
    <w:rsid w:val="7BEF19BF"/>
    <w:rsid w:val="7BF32717"/>
    <w:rsid w:val="7BF662EE"/>
    <w:rsid w:val="7BF82D9F"/>
    <w:rsid w:val="7C090A2F"/>
    <w:rsid w:val="7D063E2D"/>
    <w:rsid w:val="7DDF3DC8"/>
    <w:rsid w:val="7E14406C"/>
    <w:rsid w:val="7E1B2E09"/>
    <w:rsid w:val="7E737B13"/>
    <w:rsid w:val="7E77579C"/>
    <w:rsid w:val="7E9C02BA"/>
    <w:rsid w:val="7E9C52C8"/>
    <w:rsid w:val="7ED2210B"/>
    <w:rsid w:val="7F0F6D50"/>
    <w:rsid w:val="7F347E45"/>
    <w:rsid w:val="7F377A82"/>
    <w:rsid w:val="7FC72893"/>
    <w:rsid w:val="7FE20EBC"/>
    <w:rsid w:val="8F177C8E"/>
    <w:rsid w:val="B7EACFD9"/>
    <w:rsid w:val="D77D623E"/>
    <w:rsid w:val="DB8F235B"/>
    <w:rsid w:val="F6BF1A12"/>
    <w:rsid w:val="FDBD1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仿宋_GB2312" w:hAnsi="仿宋_GB2312" w:eastAsia="仿宋_GB2312" w:cstheme="minorBidi"/>
      <w:kern w:val="2"/>
      <w:sz w:val="32"/>
      <w:szCs w:val="22"/>
      <w:lang w:val="en-US" w:eastAsia="zh-CN" w:bidi="ar-SA"/>
    </w:rPr>
  </w:style>
  <w:style w:type="paragraph" w:styleId="2">
    <w:name w:val="heading 1"/>
    <w:basedOn w:val="1"/>
    <w:next w:val="1"/>
    <w:qFormat/>
    <w:uiPriority w:val="0"/>
    <w:pPr>
      <w:keepNext/>
      <w:keepLines/>
      <w:numPr>
        <w:ilvl w:val="0"/>
        <w:numId w:val="1"/>
      </w:numPr>
      <w:spacing w:line="560" w:lineRule="atLeast"/>
      <w:ind w:firstLineChars="0"/>
      <w:outlineLvl w:val="0"/>
    </w:pPr>
    <w:rPr>
      <w:rFonts w:eastAsia="黑体"/>
      <w:bCs/>
      <w:kern w:val="44"/>
      <w:szCs w:val="44"/>
    </w:rPr>
  </w:style>
  <w:style w:type="paragraph" w:styleId="3">
    <w:name w:val="heading 2"/>
    <w:basedOn w:val="1"/>
    <w:next w:val="1"/>
    <w:qFormat/>
    <w:uiPriority w:val="0"/>
    <w:pPr>
      <w:keepNext/>
      <w:keepLines/>
      <w:numPr>
        <w:ilvl w:val="1"/>
        <w:numId w:val="1"/>
      </w:numPr>
      <w:ind w:firstLineChars="0"/>
      <w:outlineLvl w:val="1"/>
    </w:pPr>
    <w:rPr>
      <w:rFonts w:ascii="楷体_GB2312" w:hAnsi="Calibri Light" w:eastAsia="楷体_GB2312" w:cs="Times New Roman"/>
      <w:bCs/>
      <w:szCs w:val="32"/>
    </w:rPr>
  </w:style>
  <w:style w:type="paragraph" w:styleId="4">
    <w:name w:val="heading 3"/>
    <w:basedOn w:val="1"/>
    <w:next w:val="1"/>
    <w:unhideWhenUsed/>
    <w:qFormat/>
    <w:uiPriority w:val="0"/>
    <w:pPr>
      <w:keepNext/>
      <w:keepLines/>
      <w:numPr>
        <w:ilvl w:val="2"/>
        <w:numId w:val="1"/>
      </w:numPr>
      <w:ind w:firstLineChars="0"/>
      <w:outlineLvl w:val="2"/>
    </w:pPr>
    <w:rPr>
      <w:bCs/>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unhideWhenUsed/>
    <w:qFormat/>
    <w:uiPriority w:val="0"/>
    <w:pPr>
      <w:spacing w:after="120"/>
    </w:pPr>
  </w:style>
  <w:style w:type="paragraph" w:styleId="7">
    <w:name w:val="Body Text Indent"/>
    <w:basedOn w:val="1"/>
    <w:next w:val="1"/>
    <w:qFormat/>
    <w:uiPriority w:val="0"/>
    <w:pPr>
      <w:spacing w:after="120"/>
      <w:ind w:left="420" w:leftChars="200"/>
    </w:pPr>
  </w:style>
  <w:style w:type="paragraph" w:styleId="8">
    <w:name w:val="Body Text Indent 2"/>
    <w:basedOn w:val="1"/>
    <w:next w:val="9"/>
    <w:qFormat/>
    <w:uiPriority w:val="0"/>
    <w:pPr>
      <w:spacing w:line="480" w:lineRule="auto"/>
    </w:pPr>
    <w:rPr>
      <w:rFonts w:ascii="Calibri" w:hAnsi="Calibri" w:eastAsia="Times New Roman" w:cs="Calibri"/>
    </w:rPr>
  </w:style>
  <w:style w:type="paragraph" w:styleId="9">
    <w:name w:val="Body Text First Indent 2"/>
    <w:basedOn w:val="7"/>
    <w:next w:val="1"/>
    <w:qFormat/>
    <w:uiPriority w:val="0"/>
    <w:pPr>
      <w:ind w:firstLine="420"/>
    </w:pPr>
  </w:style>
  <w:style w:type="paragraph" w:styleId="10">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11">
    <w:name w:val="header"/>
    <w:basedOn w:val="1"/>
    <w:unhideWhenUsed/>
    <w:qFormat/>
    <w:uiPriority w:val="0"/>
    <w:pPr>
      <w:tabs>
        <w:tab w:val="center" w:pos="4153"/>
        <w:tab w:val="right" w:pos="8306"/>
      </w:tabs>
      <w:snapToGrid w:val="0"/>
      <w:spacing w:line="240" w:lineRule="atLeast"/>
      <w:jc w:val="center"/>
    </w:pPr>
    <w:rPr>
      <w:sz w:val="18"/>
      <w:szCs w:val="18"/>
    </w:rPr>
  </w:style>
  <w:style w:type="paragraph" w:styleId="12">
    <w:name w:val="toc 1"/>
    <w:basedOn w:val="1"/>
    <w:next w:val="1"/>
    <w:qFormat/>
    <w:uiPriority w:val="0"/>
  </w:style>
  <w:style w:type="paragraph" w:styleId="13">
    <w:name w:val="footnote text"/>
    <w:basedOn w:val="1"/>
    <w:qFormat/>
    <w:uiPriority w:val="0"/>
    <w:pPr>
      <w:snapToGrid w:val="0"/>
      <w:jc w:val="left"/>
    </w:pPr>
    <w:rPr>
      <w:sz w:val="18"/>
    </w:rPr>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10"/>
    <w:pPr>
      <w:spacing w:before="240" w:after="60"/>
      <w:jc w:val="center"/>
      <w:outlineLvl w:val="0"/>
    </w:pPr>
    <w:rPr>
      <w:rFonts w:eastAsia="宋体" w:asciiTheme="majorHAnsi" w:hAnsiTheme="majorHAnsi" w:cstheme="majorBidi"/>
      <w:b/>
      <w:bCs/>
      <w:szCs w:val="3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otnote reference"/>
    <w:basedOn w:val="19"/>
    <w:qFormat/>
    <w:uiPriority w:val="0"/>
    <w:rPr>
      <w:vertAlign w:val="superscript"/>
    </w:rPr>
  </w:style>
  <w:style w:type="paragraph" w:customStyle="1" w:styleId="22">
    <w:name w:val="标准正文"/>
    <w:basedOn w:val="1"/>
    <w:qFormat/>
    <w:uiPriority w:val="0"/>
    <w:pPr>
      <w:widowControl/>
      <w:autoSpaceDE w:val="0"/>
      <w:autoSpaceDN w:val="0"/>
      <w:adjustRightInd w:val="0"/>
      <w:snapToGrid w:val="0"/>
      <w:spacing w:line="580" w:lineRule="exact"/>
      <w:textAlignment w:val="baseline"/>
    </w:pPr>
    <w:rPr>
      <w:rFonts w:ascii="Times New Roman" w:hAnsi="Times New Roman" w:cs="Arial"/>
      <w:bCs/>
      <w:snapToGrid w:val="0"/>
      <w:color w:val="000000"/>
      <w:kern w:val="0"/>
      <w:szCs w:val="23"/>
      <w:shd w:val="clear" w:color="auto" w:fill="FFFFFF"/>
    </w:rPr>
  </w:style>
  <w:style w:type="paragraph" w:customStyle="1" w:styleId="23">
    <w:name w:val="标准一级标题"/>
    <w:basedOn w:val="16"/>
    <w:qFormat/>
    <w:uiPriority w:val="0"/>
    <w:pPr>
      <w:widowControl/>
      <w:adjustRightInd w:val="0"/>
      <w:snapToGrid w:val="0"/>
      <w:spacing w:before="60" w:after="0" w:line="580" w:lineRule="exact"/>
      <w:ind w:firstLine="643"/>
      <w:jc w:val="both"/>
    </w:pPr>
    <w:rPr>
      <w:rFonts w:ascii="黑体" w:hAnsi="黑体" w:eastAsia="黑体"/>
      <w:b w:val="0"/>
    </w:rPr>
  </w:style>
  <w:style w:type="paragraph" w:customStyle="1" w:styleId="24">
    <w:name w:val="标准二级标题"/>
    <w:basedOn w:val="1"/>
    <w:qFormat/>
    <w:uiPriority w:val="0"/>
    <w:pPr>
      <w:widowControl/>
      <w:adjustRightInd w:val="0"/>
      <w:snapToGrid w:val="0"/>
      <w:spacing w:line="580" w:lineRule="exact"/>
      <w:outlineLvl w:val="1"/>
    </w:pPr>
    <w:rPr>
      <w:rFonts w:ascii="Times New Roman" w:hAnsi="Times New Roman" w:eastAsia="楷体_GB2312"/>
      <w:b/>
      <w:bCs/>
      <w:spacing w:val="15"/>
      <w:szCs w:val="23"/>
      <w:shd w:val="clear" w:color="auto" w:fill="FFFFFF"/>
    </w:rPr>
  </w:style>
  <w:style w:type="paragraph" w:customStyle="1" w:styleId="25">
    <w:name w:val="图表题"/>
    <w:basedOn w:val="22"/>
    <w:qFormat/>
    <w:uiPriority w:val="0"/>
    <w:pPr>
      <w:spacing w:line="240" w:lineRule="auto"/>
      <w:ind w:firstLine="0" w:firstLineChars="0"/>
      <w:jc w:val="center"/>
    </w:pPr>
    <w:rPr>
      <w:rFonts w:eastAsia="楷体_GB2312" w:cs="Times New Roman"/>
      <w:b/>
      <w:sz w:val="28"/>
      <w:szCs w:val="28"/>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character" w:customStyle="1" w:styleId="28">
    <w:name w:val="font51"/>
    <w:basedOn w:val="19"/>
    <w:qFormat/>
    <w:uiPriority w:val="0"/>
    <w:rPr>
      <w:rFonts w:hint="default" w:ascii="CESI宋体-GB2312" w:hAnsi="CESI宋体-GB2312" w:eastAsia="CESI宋体-GB2312" w:cs="CESI宋体-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d2f9a3fc-8c13-49d8-8355-62d4648950a1</errorID>
      <errorWord xmlns="http://schemas.wps.cn/vas-ai-hub/contract-review">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峒</item>
      </candidateList>
      <explain xmlns="http://schemas.wps.cn/vas-ai-hub/contract-review"/>
      <paraID xmlns="http://schemas.wps.cn/vas-ai-hub/contract-review">16BB6513</paraID>
      <start xmlns="http://schemas.wps.cn/vas-ai-hub/contract-review">177</start>
      <end xmlns="http://schemas.wps.cn/vas-ai-hub/contract-review">179</end>
      <status xmlns="http://schemas.wps.cn/vas-ai-hub/contract-review">modified</status>
      <modifiedWord xmlns="http://schemas.wps.cn/vas-ai-hub/contract-review">峒</modifiedWord>
      <trackRevisions xmlns="http://schemas.wps.cn/vas-ai-hub/contract-review">true</trackRevisions>
    </reviewItem>
    <reviewItem xmlns="http://schemas.wps.cn/vas-ai-hub/contract-review">
      <errorID xmlns="http://schemas.wps.cn/vas-ai-hub/contract-review">56301f4b-beff-47ce-ab35-031e9f4bb2c5</errorID>
      <errorWord xmlns="http://schemas.wps.cn/vas-ai-hub/contract-review">省委省政府</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省委、省政府</item>
      </candidateList>
      <explain xmlns="http://schemas.wps.cn/vas-ai-hub/contract-review">注意检查当前固定表述标点是否使用规范。</explain>
      <paraID xmlns="http://schemas.wps.cn/vas-ai-hub/contract-review">5841D47B</paraID>
      <start xmlns="http://schemas.wps.cn/vas-ai-hub/contract-review">105</start>
      <end xmlns="http://schemas.wps.cn/vas-ai-hub/contract-review">116</end>
      <status xmlns="http://schemas.wps.cn/vas-ai-hub/contract-review">modified</status>
      <modifiedWord xmlns="http://schemas.wps.cn/vas-ai-hub/contract-review">省委、省政府</modifiedWord>
      <trackRevisions xmlns="http://schemas.wps.cn/vas-ai-hub/contract-review">true</trackRevisions>
    </reviewItem>
    <reviewItem xmlns="http://schemas.wps.cn/vas-ai-hub/contract-review">
      <errorID xmlns="http://schemas.wps.cn/vas-ai-hub/contract-review">a5eb7c22-847b-4b68-ac67-a491df9ac2a0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AD7B469</paraID>
      <start xmlns="http://schemas.wps.cn/vas-ai-hub/contract-review">205</start>
      <end xmlns="http://schemas.wps.cn/vas-ai-hub/contract-review">210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5f03485e-9d46-4ff5-9616-cc632032adef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AD7B469</paraID>
      <start xmlns="http://schemas.wps.cn/vas-ai-hub/contract-review">215</start>
      <end xmlns="http://schemas.wps.cn/vas-ai-hub/contract-review">220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7883d524-4910-42ad-90ea-413a4d7b8c1f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397DD94F</paraID>
      <start xmlns="http://schemas.wps.cn/vas-ai-hub/contract-review">0</start>
      <end xmlns="http://schemas.wps.cn/vas-ai-hub/contract-review">4</end>
      <status xmlns="http://schemas.wps.cn/vas-ai-hub/contract-review">modified</status>
      <modifiedWord xmlns="http://schemas.wps.cn/vas-ai-hub/contract-review">1.</modifiedWord>
      <trackRevisions xmlns="http://schemas.wps.cn/vas-ai-hub/contract-review">true</trackRevisions>
    </reviewItem>
    <reviewItem xmlns="http://schemas.wps.cn/vas-ai-hub/contract-review">
      <errorID xmlns="http://schemas.wps.cn/vas-ai-hub/contract-review">2855cde5-06c8-4d18-8efb-3293a867d403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1D6D6B96</paraID>
      <start xmlns="http://schemas.wps.cn/vas-ai-hub/contract-review">0</start>
      <end xmlns="http://schemas.wps.cn/vas-ai-hub/contract-review">4</end>
      <status xmlns="http://schemas.wps.cn/vas-ai-hub/contract-review">modified</status>
      <modifiedWord xmlns="http://schemas.wps.cn/vas-ai-hub/contract-review">2.</modifiedWord>
      <trackRevisions xmlns="http://schemas.wps.cn/vas-ai-hub/contract-review">true</trackRevisions>
    </reviewItem>
    <reviewItem xmlns="http://schemas.wps.cn/vas-ai-hub/contract-review">
      <errorID xmlns="http://schemas.wps.cn/vas-ai-hub/contract-review">b90ffafa-5c2f-4afc-8477-d0947bd6c3e2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74D97869</paraID>
      <start xmlns="http://schemas.wps.cn/vas-ai-hub/contract-review">0</start>
      <end xmlns="http://schemas.wps.cn/vas-ai-hub/contract-review">4</end>
      <status xmlns="http://schemas.wps.cn/vas-ai-hub/contract-review">modified</status>
      <modifiedWord xmlns="http://schemas.wps.cn/vas-ai-hub/contract-review">3.</modifiedWord>
      <trackRevisions xmlns="http://schemas.wps.cn/vas-ai-hub/contract-review">true</trackRevisions>
    </reviewItem>
    <reviewItem xmlns="http://schemas.wps.cn/vas-ai-hub/contract-review">
      <errorID xmlns="http://schemas.wps.cn/vas-ai-hub/contract-review">ac5ded02-1678-40f9-a039-2d3d431bf056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6B149409</paraID>
      <start xmlns="http://schemas.wps.cn/vas-ai-hub/contract-review">0</start>
      <end xmlns="http://schemas.wps.cn/vas-ai-hub/contract-review">4</end>
      <status xmlns="http://schemas.wps.cn/vas-ai-hub/contract-review">modified</status>
      <modifiedWord xmlns="http://schemas.wps.cn/vas-ai-hub/contract-review">1.</modifiedWord>
      <trackRevisions xmlns="http://schemas.wps.cn/vas-ai-hub/contract-review">true</trackRevisions>
    </reviewItem>
    <reviewItem xmlns="http://schemas.wps.cn/vas-ai-hub/contract-review">
      <errorID xmlns="http://schemas.wps.cn/vas-ai-hub/contract-review">01e7df68-6995-406d-9f73-33ba21a5e7f5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2FBB1753</paraID>
      <start xmlns="http://schemas.wps.cn/vas-ai-hub/contract-review">0</start>
      <end xmlns="http://schemas.wps.cn/vas-ai-hub/contract-review">4</end>
      <status xmlns="http://schemas.wps.cn/vas-ai-hub/contract-review">modified</status>
      <modifiedWord xmlns="http://schemas.wps.cn/vas-ai-hub/contract-review">2.</modifiedWord>
      <trackRevisions xmlns="http://schemas.wps.cn/vas-ai-hub/contract-review">true</trackRevisions>
    </reviewItem>
    <reviewItem xmlns="http://schemas.wps.cn/vas-ai-hub/contract-review">
      <errorID xmlns="http://schemas.wps.cn/vas-ai-hub/contract-review">8b3e175f-dd43-4e24-941c-e61e0553ad43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A9EF4F7</paraID>
      <start xmlns="http://schemas.wps.cn/vas-ai-hub/contract-review">0</start>
      <end xmlns="http://schemas.wps.cn/vas-ai-hub/contract-review">4</end>
      <status xmlns="http://schemas.wps.cn/vas-ai-hub/contract-review">modified</status>
      <modifiedWord xmlns="http://schemas.wps.cn/vas-ai-hub/contract-review">1.</modifiedWord>
      <trackRevisions xmlns="http://schemas.wps.cn/vas-ai-hub/contract-review">true</trackRevisions>
    </reviewItem>
    <reviewItem xmlns="http://schemas.wps.cn/vas-ai-hub/contract-review">
      <errorID xmlns="http://schemas.wps.cn/vas-ai-hub/contract-review">b0d01715-fe45-4637-8cb5-4d4e89919cba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75625C00</paraID>
      <start xmlns="http://schemas.wps.cn/vas-ai-hub/contract-review">0</start>
      <end xmlns="http://schemas.wps.cn/vas-ai-hub/contract-review">4</end>
      <status xmlns="http://schemas.wps.cn/vas-ai-hub/contract-review">modified</status>
      <modifiedWord xmlns="http://schemas.wps.cn/vas-ai-hub/contract-review">2.</modifiedWord>
      <trackRevisions xmlns="http://schemas.wps.cn/vas-ai-hub/contract-review">true</trackRevisions>
    </reviewItem>
    <reviewItem xmlns="http://schemas.wps.cn/vas-ai-hub/contract-review">
      <errorID xmlns="http://schemas.wps.cn/vas-ai-hub/contract-review">a72d90c7-5c9b-4d60-a79e-ef6203bed524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7D0C1D4C</paraID>
      <start xmlns="http://schemas.wps.cn/vas-ai-hub/contract-review">0</start>
      <end xmlns="http://schemas.wps.cn/vas-ai-hub/contract-review">4</end>
      <status xmlns="http://schemas.wps.cn/vas-ai-hub/contract-review">modified</status>
      <modifiedWord xmlns="http://schemas.wps.cn/vas-ai-hub/contract-review">3.</modifiedWord>
      <trackRevisions xmlns="http://schemas.wps.cn/vas-ai-hub/contract-review">true</trackRevisions>
    </reviewItem>
    <reviewItem xmlns="http://schemas.wps.cn/vas-ai-hub/contract-review">
      <errorID xmlns="http://schemas.wps.cn/vas-ai-hub/contract-review">4fd1ad04-27c6-4cdf-bc3c-5ec8e5f31378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B175241</paraID>
      <start xmlns="http://schemas.wps.cn/vas-ai-hub/contract-review">0</start>
      <end xmlns="http://schemas.wps.cn/vas-ai-hub/contract-review">4</end>
      <status xmlns="http://schemas.wps.cn/vas-ai-hub/contract-review">modified</status>
      <modifiedWord xmlns="http://schemas.wps.cn/vas-ai-hub/contract-review">4.</modifiedWord>
      <trackRevisions xmlns="http://schemas.wps.cn/vas-ai-hub/contract-review">true</trackRevisions>
    </reviewItem>
    <reviewItem xmlns="http://schemas.wps.cn/vas-ai-hub/contract-review">
      <errorID xmlns="http://schemas.wps.cn/vas-ai-hub/contract-review">c1a17f98-e858-4764-8f9f-acda4368f8ff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67152A6</paraID>
      <start xmlns="http://schemas.wps.cn/vas-ai-hub/contract-review">0</start>
      <end xmlns="http://schemas.wps.cn/vas-ai-hub/contract-review">4</end>
      <status xmlns="http://schemas.wps.cn/vas-ai-hub/contract-review">modified</status>
      <modifiedWord xmlns="http://schemas.wps.cn/vas-ai-hub/contract-review">5.</modifiedWord>
      <trackRevisions xmlns="http://schemas.wps.cn/vas-ai-hub/contract-review">true</trackRevisions>
    </reviewItem>
    <reviewItem xmlns="http://schemas.wps.cn/vas-ai-hub/contract-review">
      <errorID xmlns="http://schemas.wps.cn/vas-ai-hub/contract-review">d2a10400-2a94-48f8-ac05-0b828ba8b949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14F51F0B</paraID>
      <start xmlns="http://schemas.wps.cn/vas-ai-hub/contract-review">0</start>
      <end xmlns="http://schemas.wps.cn/vas-ai-hub/contract-review">4</end>
      <status xmlns="http://schemas.wps.cn/vas-ai-hub/contract-review">modified</status>
      <modifiedWord xmlns="http://schemas.wps.cn/vas-ai-hub/contract-review">6.</modifiedWord>
      <trackRevisions xmlns="http://schemas.wps.cn/vas-ai-hub/contract-review">true</trackRevisions>
    </reviewItem>
    <reviewItem xmlns="http://schemas.wps.cn/vas-ai-hub/contract-review">
      <errorID xmlns="http://schemas.wps.cn/vas-ai-hub/contract-review">16b6a7c5-b21c-4872-a4f4-ddc6e542b569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6942DC57</paraID>
      <start xmlns="http://schemas.wps.cn/vas-ai-hub/contract-review">0</start>
      <end xmlns="http://schemas.wps.cn/vas-ai-hub/contract-review">4</end>
      <status xmlns="http://schemas.wps.cn/vas-ai-hub/contract-review">modified</status>
      <modifiedWord xmlns="http://schemas.wps.cn/vas-ai-hub/contract-review">1.</modifiedWord>
      <trackRevisions xmlns="http://schemas.wps.cn/vas-ai-hub/contract-review">true</trackRevisions>
    </reviewItem>
    <reviewItem xmlns="http://schemas.wps.cn/vas-ai-hub/contract-review">
      <errorID xmlns="http://schemas.wps.cn/vas-ai-hub/contract-review">f8e9a223-01d6-4720-a748-5508c2102e9b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6942DC57</paraID>
      <start xmlns="http://schemas.wps.cn/vas-ai-hub/contract-review">16</start>
      <end xmlns="http://schemas.wps.cn/vas-ai-hub/contract-review">18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f71c291d-afeb-44d7-b3c1-43226fe716cb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3B0714B5</paraID>
      <start xmlns="http://schemas.wps.cn/vas-ai-hub/contract-review">0</start>
      <end xmlns="http://schemas.wps.cn/vas-ai-hub/contract-review">4</end>
      <status xmlns="http://schemas.wps.cn/vas-ai-hub/contract-review">modified</status>
      <modifiedWord xmlns="http://schemas.wps.cn/vas-ai-hub/contract-review">2.</modifiedWord>
      <trackRevisions xmlns="http://schemas.wps.cn/vas-ai-hub/contract-review">true</trackRevisions>
    </reviewItem>
    <reviewItem xmlns="http://schemas.wps.cn/vas-ai-hub/contract-review">
      <errorID xmlns="http://schemas.wps.cn/vas-ai-hub/contract-review">4b8daee8-370b-4e44-8511-859a094d9675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3D7630BF</paraID>
      <start xmlns="http://schemas.wps.cn/vas-ai-hub/contract-review">5</start>
      <end xmlns="http://schemas.wps.cn/vas-ai-hub/contract-review">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dd30146b-7df1-442f-ba23-f18aa8837393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3D7630BF</paraID>
      <start xmlns="http://schemas.wps.cn/vas-ai-hub/contract-review">15</start>
      <end xmlns="http://schemas.wps.cn/vas-ai-hub/contract-review">17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69c9f960-df7c-4202-a4a5-456f8eb0509e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3D7630BF</paraID>
      <start xmlns="http://schemas.wps.cn/vas-ai-hub/contract-review">19</start>
      <end xmlns="http://schemas.wps.cn/vas-ai-hub/contract-review">21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d60de1bf-3173-46d5-8c22-236429a2d48f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3D7630BF</paraID>
      <start xmlns="http://schemas.wps.cn/vas-ai-hub/contract-review">26</start>
      <end xmlns="http://schemas.wps.cn/vas-ai-hub/contract-review">28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3d2f26c8-25d8-4686-b84a-9f2769f7fdf0</errorID>
      <errorWord xmlns="http://schemas.wps.cn/vas-ai-hub/contract-review">约为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约</item>
      </candidateList>
      <explain xmlns="http://schemas.wps.cn/vas-ai-hub/contract-review"/>
      <paraID xmlns="http://schemas.wps.cn/vas-ai-hub/contract-review">3D7630BF</paraID>
      <start xmlns="http://schemas.wps.cn/vas-ai-hub/contract-review">47</start>
      <end xmlns="http://schemas.wps.cn/vas-ai-hub/contract-review">50</end>
      <status xmlns="http://schemas.wps.cn/vas-ai-hub/contract-review">modified</status>
      <modifiedWord xmlns="http://schemas.wps.cn/vas-ai-hub/contract-review">约</modifiedWord>
      <trackRevisions xmlns="http://schemas.wps.cn/vas-ai-hub/contract-review">true</trackRevisions>
    </reviewItem>
    <reviewItem xmlns="http://schemas.wps.cn/vas-ai-hub/contract-review">
      <errorID xmlns="http://schemas.wps.cn/vas-ai-hub/contract-review">10d53b7f-add5-4e3c-8d11-fc9a91518bde</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568FEE56</paraID>
      <start xmlns="http://schemas.wps.cn/vas-ai-hub/contract-review">0</start>
      <end xmlns="http://schemas.wps.cn/vas-ai-hub/contract-review">4</end>
      <status xmlns="http://schemas.wps.cn/vas-ai-hub/contract-review">modified</status>
      <modifiedWord xmlns="http://schemas.wps.cn/vas-ai-hub/contract-review">3.</modifiedWord>
      <trackRevisions xmlns="http://schemas.wps.cn/vas-ai-hub/contract-review">true</trackRevisions>
    </reviewItem>
    <reviewItem xmlns="http://schemas.wps.cn/vas-ai-hub/contract-review">
      <errorID xmlns="http://schemas.wps.cn/vas-ai-hub/contract-review">8d10bc7c-7d2e-4d77-b6ed-2311afb89868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33761E98</paraID>
      <start xmlns="http://schemas.wps.cn/vas-ai-hub/contract-review">0</start>
      <end xmlns="http://schemas.wps.cn/vas-ai-hub/contract-review">4</end>
      <status xmlns="http://schemas.wps.cn/vas-ai-hub/contract-review">modified</status>
      <modifiedWord xmlns="http://schemas.wps.cn/vas-ai-hub/contract-review">4.</modifiedWord>
      <trackRevisions xmlns="http://schemas.wps.cn/vas-ai-hub/contract-review">true</trackRevisions>
    </reviewItem>
    <reviewItem xmlns="http://schemas.wps.cn/vas-ai-hub/contract-review">
      <errorID xmlns="http://schemas.wps.cn/vas-ai-hub/contract-review">67f09e46-482a-48fe-bf90-86478f51087d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33761E98</paraID>
      <start xmlns="http://schemas.wps.cn/vas-ai-hub/contract-review">30</start>
      <end xmlns="http://schemas.wps.cn/vas-ai-hub/contract-review">32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65adb1bd-8d58-4552-928a-2bf377bbac0e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33761E98</paraID>
      <start xmlns="http://schemas.wps.cn/vas-ai-hub/contract-review">64</start>
      <end xmlns="http://schemas.wps.cn/vas-ai-hub/contract-review">66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e5cabb94-f261-48d8-95b2-069909b49663</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5923B3AD</paraID>
      <start xmlns="http://schemas.wps.cn/vas-ai-hub/contract-review">0</start>
      <end xmlns="http://schemas.wps.cn/vas-ai-hub/contract-review">4</end>
      <status xmlns="http://schemas.wps.cn/vas-ai-hub/contract-review">modified</status>
      <modifiedWord xmlns="http://schemas.wps.cn/vas-ai-hub/contract-review">5.</modifiedWord>
      <trackRevisions xmlns="http://schemas.wps.cn/vas-ai-hub/contract-review">true</trackRevisions>
    </reviewItem>
    <reviewItem xmlns="http://schemas.wps.cn/vas-ai-hub/contract-review">
      <errorID xmlns="http://schemas.wps.cn/vas-ai-hub/contract-review">7e81f14a-8035-4b60-9abc-4dddddf937d1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32BBA05B</paraID>
      <start xmlns="http://schemas.wps.cn/vas-ai-hub/contract-review">135</start>
      <end xmlns="http://schemas.wps.cn/vas-ai-hub/contract-review">140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da697e12-3221-4b64-8a7e-6f3fb17b28c2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456BB908</paraID>
      <start xmlns="http://schemas.wps.cn/vas-ai-hub/contract-review">0</start>
      <end xmlns="http://schemas.wps.cn/vas-ai-hub/contract-review">4</end>
      <status xmlns="http://schemas.wps.cn/vas-ai-hub/contract-review">modified</status>
      <modifiedWord xmlns="http://schemas.wps.cn/vas-ai-hub/contract-review">1.</modifiedWord>
      <trackRevisions xmlns="http://schemas.wps.cn/vas-ai-hub/contract-review">true</trackRevisions>
    </reviewItem>
    <reviewItem xmlns="http://schemas.wps.cn/vas-ai-hub/contract-review">
      <errorID xmlns="http://schemas.wps.cn/vas-ai-hub/contract-review">36348d80-ff6f-4c37-915a-c64104b8482d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67A00051</paraID>
      <start xmlns="http://schemas.wps.cn/vas-ai-hub/contract-review">0</start>
      <end xmlns="http://schemas.wps.cn/vas-ai-hub/contract-review">4</end>
      <status xmlns="http://schemas.wps.cn/vas-ai-hub/contract-review">modified</status>
      <modifiedWord xmlns="http://schemas.wps.cn/vas-ai-hub/contract-review">2.</modifiedWord>
      <trackRevisions xmlns="http://schemas.wps.cn/vas-ai-hub/contract-review">true</trackRevisions>
    </reviewItem>
    <reviewItem xmlns="http://schemas.wps.cn/vas-ai-hub/contract-review">
      <errorID xmlns="http://schemas.wps.cn/vas-ai-hub/contract-review">d21c6394-684f-46ca-8ca0-24634af3de4c</errorID>
      <errorWord xmlns="http://schemas.wps.cn/vas-ai-hub/contract-review">一岗双责</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“一岗双责”</item>
      </candidateList>
      <explain xmlns="http://schemas.wps.cn/vas-ai-hub/contract-review">注意检查当前固定表述标点是否使用规范。</explain>
      <paraID xmlns="http://schemas.wps.cn/vas-ai-hub/contract-review">53C56923</paraID>
      <start xmlns="http://schemas.wps.cn/vas-ai-hub/contract-review">62</start>
      <end xmlns="http://schemas.wps.cn/vas-ai-hub/contract-review">72</end>
      <status xmlns="http://schemas.wps.cn/vas-ai-hub/contract-review">modified</status>
      <modifiedWord xmlns="http://schemas.wps.cn/vas-ai-hub/contract-review">“一岗双责”</modifiedWord>
      <trackRevisions xmlns="http://schemas.wps.cn/vas-ai-hub/contract-review">true</trackRevisions>
    </reviewItem>
    <reviewItem xmlns="http://schemas.wps.cn/vas-ai-hub/contract-review">
      <errorID xmlns="http://schemas.wps.cn/vas-ai-hub/contract-review">a7b891db-ad95-40fe-8e70-3c10d37af975</errorID>
      <errorWord xmlns="http://schemas.wps.cn/vas-ai-hub/contract-review">生态环境有局部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生态环境部</item>
      </candidateList>
      <explain xmlns="http://schemas.wps.cn/vas-ai-hub/contract-review">机关单位全简称表述错误</explain>
      <paraID xmlns="http://schemas.wps.cn/vas-ai-hub/contract-review"> E007669</paraID>
      <start xmlns="http://schemas.wps.cn/vas-ai-hub/contract-review">100</start>
      <end xmlns="http://schemas.wps.cn/vas-ai-hub/contract-review">107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58f5244c-70f1-423e-a7b6-2d6f935a322c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22B68042</paraID>
      <start xmlns="http://schemas.wps.cn/vas-ai-hub/contract-review">7</start>
      <end xmlns="http://schemas.wps.cn/vas-ai-hub/contract-review">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cba99632-dde5-4e32-b123-49480b42bc14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5E88F8AE</paraID>
      <start xmlns="http://schemas.wps.cn/vas-ai-hub/contract-review">8</start>
      <end xmlns="http://schemas.wps.cn/vas-ai-hub/contract-review">10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1c2d00e1-a6d6-4ddf-9e4a-0e76e1364f70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7CBBE6A1</paraID>
      <start xmlns="http://schemas.wps.cn/vas-ai-hub/contract-review">32</start>
      <end xmlns="http://schemas.wps.cn/vas-ai-hub/contract-review">34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295d58fc-0798-4760-8494-2e0f60f008df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7CBBE6A1</paraID>
      <start xmlns="http://schemas.wps.cn/vas-ai-hub/contract-review">80</start>
      <end xmlns="http://schemas.wps.cn/vas-ai-hub/contract-review">82</end>
      <status xmlns="http://schemas.wps.cn/vas-ai-hub/contract-review">modified</status>
      <modifiedWord xmlns="http://schemas.wps.cn/vas-ai-hub/contract-review">～</modifiedWord>
      <trackRevisions xmlns="http://schemas.wps.cn/vas-ai-hub/contract-review">true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ac1ef3-2232-4cfd-90e3-56a90920f1b5}">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19133</Words>
  <Characters>19657</Characters>
  <Lines>0</Lines>
  <Paragraphs>0</Paragraphs>
  <TotalTime>52</TotalTime>
  <ScaleCrop>false</ScaleCrop>
  <LinksUpToDate>false</LinksUpToDate>
  <CharactersWithSpaces>20431</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2026-01-14T00:18:00Z</dcterms:created>
  <dc:creator>齐天玉</dc:creator>
  <cp:lastModifiedBy>ht706</cp:lastModifiedBy>
  <cp:lastPrinted>2026-08-11T16:12:00Z</cp:lastPrinted>
  <dcterms:modified xsi:type="dcterms:W3CDTF">2026-09-03T15:03:28Z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36C96EE86B586626C8F07E6A5E15B049</vt:lpwstr>
  </property>
  <property fmtid="{D5CDD505-2E9C-101B-9397-08002B2CF9AE}" pid="4" name="KSOTemplateDocerSaveRecord">
    <vt:lpwstr>eyJoZGlkIjoiMzFkZjE3ODRkOGQ2MDIyNjNlMDU5MTMyMWQ5MTQyYTYiLCJ1c2VySWQiOiI5OTI4MTcxNTcifQ==</vt:lpwstr>
  </property>
</Properties>
</file>